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CD0F" w14:textId="77777777" w:rsidR="00E42EF2" w:rsidRDefault="00ED7E71">
      <w:pPr>
        <w:spacing w:after="60"/>
        <w:jc w:val="center"/>
      </w:pPr>
      <w:r>
        <w:rPr>
          <w:b/>
          <w:bCs/>
          <w:color w:val="1D3557"/>
          <w:sz w:val="36"/>
          <w:szCs w:val="36"/>
        </w:rPr>
        <w:t>Hotel Revenue &amp; Operations Dashboard</w:t>
      </w:r>
    </w:p>
    <w:p w14:paraId="102A6C3A" w14:textId="77777777" w:rsidR="00E42EF2" w:rsidRDefault="00ED7E71">
      <w:pPr>
        <w:spacing w:after="60"/>
        <w:jc w:val="center"/>
      </w:pPr>
      <w:r>
        <w:rPr>
          <w:color w:val="457B9D"/>
          <w:sz w:val="26"/>
          <w:szCs w:val="26"/>
        </w:rPr>
        <w:t>Operational Summary Report</w:t>
      </w:r>
    </w:p>
    <w:p w14:paraId="4686B441" w14:textId="49296752" w:rsidR="00E42EF2" w:rsidRDefault="00ED7E71">
      <w:pPr>
        <w:spacing w:after="360"/>
        <w:jc w:val="center"/>
      </w:pPr>
      <w:r>
        <w:rPr>
          <w:i/>
          <w:iCs/>
          <w:color w:val="6C757D"/>
          <w:sz w:val="18"/>
          <w:szCs w:val="18"/>
        </w:rPr>
        <w:t xml:space="preserve">Mahesh Sambare </w:t>
      </w:r>
      <w:r>
        <w:rPr>
          <w:i/>
          <w:iCs/>
          <w:color w:val="6C757D"/>
          <w:sz w:val="18"/>
          <w:szCs w:val="18"/>
        </w:rPr>
        <w:t xml:space="preserve">| </w:t>
      </w:r>
      <w:r>
        <w:rPr>
          <w:i/>
          <w:iCs/>
          <w:color w:val="6C757D"/>
          <w:sz w:val="18"/>
          <w:szCs w:val="18"/>
        </w:rPr>
        <w:t>Portfolio Project</w:t>
      </w:r>
      <w:r>
        <w:rPr>
          <w:i/>
          <w:iCs/>
          <w:color w:val="6C757D"/>
          <w:sz w:val="18"/>
          <w:szCs w:val="18"/>
        </w:rPr>
        <w:t xml:space="preserve"> | </w:t>
      </w:r>
      <w:r>
        <w:rPr>
          <w:i/>
          <w:iCs/>
          <w:color w:val="6C757D"/>
          <w:sz w:val="18"/>
          <w:szCs w:val="18"/>
        </w:rPr>
        <w:t>Data: Hotel Booking Demand Dataset (2018–2020)</w:t>
      </w:r>
    </w:p>
    <w:p w14:paraId="38BDEA85" w14:textId="77777777" w:rsidR="00E42EF2" w:rsidRDefault="00ED7E71">
      <w:pPr>
        <w:pStyle w:val="Heading1"/>
      </w:pPr>
      <w:r>
        <w:t>1. Project Overview</w:t>
      </w:r>
    </w:p>
    <w:p w14:paraId="68DAC00A" w14:textId="2254A830" w:rsidR="00E42EF2" w:rsidRDefault="00ED7E71">
      <w:pPr>
        <w:spacing w:after="160"/>
      </w:pPr>
      <w:r>
        <w:t>This dashboard analyses 99,196 cleaned hotel bookings across two properties</w:t>
      </w:r>
      <w:r w:rsidR="002E3DE7">
        <w:t>;</w:t>
      </w:r>
      <w:r>
        <w:t xml:space="preserve"> a City Hotel and a Resort Hotel </w:t>
      </w:r>
      <w:r>
        <w:t>spanning July 2018 to August 2020. The objective was to move past a static KPI display and surface the commercial and operational relationships that actually drive decisions in a hotel revenue management and front office setting: channel profitability, cancellation risk, guest reliability, and room allocation behaviour.</w:t>
      </w:r>
    </w:p>
    <w:p w14:paraId="2B0623AA" w14:textId="5827AFC5" w:rsidR="00E42EF2" w:rsidRDefault="00ED7E71">
      <w:pPr>
        <w:spacing w:after="160"/>
      </w:pPr>
      <w:r>
        <w:t>Pipeline: raw booking data was cleaned</w:t>
      </w:r>
      <w:r>
        <w:t xml:space="preserve"> in Python, loaded into a SQLite database, queried with six targeted SQL aggregations, and visualised in Power BI.</w:t>
      </w:r>
    </w:p>
    <w:p w14:paraId="5D5B4EED" w14:textId="77777777" w:rsidR="002E3DE7" w:rsidRDefault="002E3DE7">
      <w:pPr>
        <w:spacing w:after="160"/>
      </w:pPr>
    </w:p>
    <w:p w14:paraId="2592F70B" w14:textId="542029EA" w:rsidR="00E42EF2" w:rsidRDefault="002E3DE7">
      <w:pPr>
        <w:spacing w:before="200" w:after="200"/>
        <w:jc w:val="center"/>
      </w:pPr>
      <w:r>
        <w:rPr>
          <w:noProof/>
        </w:rPr>
        <w:drawing>
          <wp:inline distT="0" distB="0" distL="0" distR="0" wp14:anchorId="70F4DE75" wp14:editId="24C510E1">
            <wp:extent cx="6143854" cy="3416300"/>
            <wp:effectExtent l="0" t="0" r="9525" b="0"/>
            <wp:docPr id="435350327" name="Picture 1" descr="The image is a dashboard displaying various key performance metrics for a hotel, including revenue, gross revenue, commission lost, average daily rate (ADR), and cancellation rates, categorized by market segments and room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50327" name="Picture 1" descr="The image is a dashboard displaying various key performance metrics for a hotel, including revenue, gross revenue, commission lost, average daily rate (ADR), and cancellation rates, categorized by market segments and room type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815" cy="34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2303" w14:textId="77777777" w:rsidR="00E42EF2" w:rsidRDefault="00ED7E71">
      <w:pPr>
        <w:pStyle w:val="Heading1"/>
      </w:pPr>
      <w:r>
        <w:t>2. Headline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42EF2" w14:paraId="2C47F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DE8A" w14:textId="77777777" w:rsidR="00E42EF2" w:rsidRDefault="00ED7E71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33AA" w14:textId="77777777" w:rsidR="00E42EF2" w:rsidRDefault="00ED7E71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E42EF2" w14:paraId="7256C9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EA37" w14:textId="77777777" w:rsidR="00E42EF2" w:rsidRDefault="00ED7E71">
            <w:r>
              <w:rPr>
                <w:sz w:val="20"/>
                <w:szCs w:val="20"/>
              </w:rPr>
              <w:t>Bookings analysed (post-cleaning)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389E" w14:textId="77777777" w:rsidR="00E42EF2" w:rsidRDefault="00ED7E71">
            <w:r>
              <w:rPr>
                <w:sz w:val="20"/>
                <w:szCs w:val="20"/>
              </w:rPr>
              <w:t>99,196</w:t>
            </w:r>
          </w:p>
        </w:tc>
      </w:tr>
      <w:tr w:rsidR="00E42EF2" w14:paraId="1C4CA5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DDD3" w14:textId="77777777" w:rsidR="00E42EF2" w:rsidRDefault="00ED7E71">
            <w:r>
              <w:rPr>
                <w:sz w:val="20"/>
                <w:szCs w:val="20"/>
              </w:rPr>
              <w:t>Gross revenue (before commission)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900A" w14:textId="77777777" w:rsidR="00E42EF2" w:rsidRDefault="00ED7E71">
            <w:r>
              <w:rPr>
                <w:sz w:val="20"/>
                <w:szCs w:val="20"/>
              </w:rPr>
              <w:t>$26.74M</w:t>
            </w:r>
          </w:p>
        </w:tc>
      </w:tr>
      <w:tr w:rsidR="00E42EF2" w14:paraId="0132B9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7EF7" w14:textId="77777777" w:rsidR="00E42EF2" w:rsidRDefault="00ED7E71">
            <w:r>
              <w:rPr>
                <w:sz w:val="20"/>
                <w:szCs w:val="20"/>
              </w:rPr>
              <w:t>Net revenue (after commission)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AD3C" w14:textId="77777777" w:rsidR="00E42EF2" w:rsidRDefault="00ED7E71">
            <w:r>
              <w:rPr>
                <w:sz w:val="20"/>
                <w:szCs w:val="20"/>
              </w:rPr>
              <w:t>$20.0M</w:t>
            </w:r>
          </w:p>
        </w:tc>
      </w:tr>
      <w:tr w:rsidR="00E42EF2" w14:paraId="21E628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2068" w14:textId="77777777" w:rsidR="00E42EF2" w:rsidRDefault="00ED7E71">
            <w:r>
              <w:rPr>
                <w:sz w:val="20"/>
                <w:szCs w:val="20"/>
              </w:rPr>
              <w:t>Total commission cost across all channels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E79C" w14:textId="77777777" w:rsidR="00E42EF2" w:rsidRDefault="00ED7E71">
            <w:r>
              <w:rPr>
                <w:sz w:val="20"/>
                <w:szCs w:val="20"/>
              </w:rPr>
              <w:t>$6.76M</w:t>
            </w:r>
          </w:p>
        </w:tc>
      </w:tr>
      <w:tr w:rsidR="00E42EF2" w14:paraId="7E2CAB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8E37" w14:textId="77777777" w:rsidR="00E42EF2" w:rsidRDefault="00ED7E71">
            <w:r>
              <w:rPr>
                <w:sz w:val="20"/>
                <w:szCs w:val="20"/>
              </w:rPr>
              <w:t>Overall cancellation rate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83B5" w14:textId="77777777" w:rsidR="00E42EF2" w:rsidRDefault="00ED7E71">
            <w:r>
              <w:rPr>
                <w:sz w:val="20"/>
                <w:szCs w:val="20"/>
              </w:rPr>
              <w:t>26.8%</w:t>
            </w:r>
          </w:p>
        </w:tc>
      </w:tr>
      <w:tr w:rsidR="00E42EF2" w14:paraId="11EAC7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9A35" w14:textId="77777777" w:rsidR="00E42EF2" w:rsidRDefault="00ED7E71">
            <w:r>
              <w:rPr>
                <w:sz w:val="20"/>
                <w:szCs w:val="20"/>
              </w:rPr>
              <w:lastRenderedPageBreak/>
              <w:t>Online TA: bookings / cancellation rate / commission cost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9ED3" w14:textId="77777777" w:rsidR="00E42EF2" w:rsidRDefault="00ED7E71">
            <w:r>
              <w:rPr>
                <w:sz w:val="20"/>
                <w:szCs w:val="20"/>
              </w:rPr>
              <w:t>56,899 / 34.6% / $4.38M</w:t>
            </w:r>
          </w:p>
        </w:tc>
      </w:tr>
      <w:tr w:rsidR="00E42EF2" w14:paraId="098476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A0E3" w14:textId="77777777" w:rsidR="00E42EF2" w:rsidRDefault="00ED7E71">
            <w:r>
              <w:rPr>
                <w:sz w:val="20"/>
                <w:szCs w:val="20"/>
              </w:rPr>
              <w:t>Direct: bookings / cancellation rate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1B26" w14:textId="77777777" w:rsidR="00E42EF2" w:rsidRDefault="00ED7E71">
            <w:r>
              <w:rPr>
                <w:sz w:val="20"/>
                <w:szCs w:val="20"/>
              </w:rPr>
              <w:t>13,663 / 14.6%</w:t>
            </w:r>
          </w:p>
        </w:tc>
      </w:tr>
      <w:tr w:rsidR="00E42EF2" w14:paraId="1C4633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0E06" w14:textId="77777777" w:rsidR="00E42EF2" w:rsidRDefault="00ED7E71">
            <w:r>
              <w:rPr>
                <w:sz w:val="20"/>
                <w:szCs w:val="20"/>
              </w:rPr>
              <w:t>Peak room type mismatch (Resort Hotel, Corporate)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C130" w14:textId="77777777" w:rsidR="00E42EF2" w:rsidRDefault="00ED7E71">
            <w:r>
              <w:rPr>
                <w:sz w:val="20"/>
                <w:szCs w:val="20"/>
              </w:rPr>
              <w:t>50.2%</w:t>
            </w:r>
          </w:p>
        </w:tc>
      </w:tr>
      <w:tr w:rsidR="00E42EF2" w14:paraId="24F32B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4A32" w14:textId="77777777" w:rsidR="00E42EF2" w:rsidRDefault="00ED7E71">
            <w:r>
              <w:rPr>
                <w:sz w:val="20"/>
                <w:szCs w:val="20"/>
              </w:rPr>
              <w:t>Repeat guest cancellation rate vs. first-time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3953" w14:textId="77777777" w:rsidR="00E42EF2" w:rsidRDefault="00ED7E71">
            <w:r>
              <w:rPr>
                <w:sz w:val="20"/>
                <w:szCs w:val="20"/>
              </w:rPr>
              <w:t>10.6% vs 27.4%</w:t>
            </w:r>
          </w:p>
        </w:tc>
      </w:tr>
    </w:tbl>
    <w:p w14:paraId="1FCD1BB8" w14:textId="77777777" w:rsidR="00E42EF2" w:rsidRDefault="00ED7E71">
      <w:pPr>
        <w:pStyle w:val="Heading1"/>
      </w:pPr>
      <w:r>
        <w:t>3. Key Insights &amp; Recommendations</w:t>
      </w:r>
    </w:p>
    <w:p w14:paraId="1AAD33AB" w14:textId="058EF927" w:rsidR="00E42EF2" w:rsidRDefault="00ED7E71">
      <w:pPr>
        <w:pStyle w:val="Heading2"/>
      </w:pPr>
      <w:r>
        <w:t xml:space="preserve">3.1 </w:t>
      </w:r>
      <w:r>
        <w:t>Online TA: the channel that costs us twice</w:t>
      </w:r>
    </w:p>
    <w:p w14:paraId="01A3E817" w14:textId="7B9611E9" w:rsidR="00E42EF2" w:rsidRDefault="00ED7E71">
      <w:pPr>
        <w:spacing w:after="160"/>
      </w:pPr>
      <w:r>
        <w:t>Online TA drives more volume than any other segment</w:t>
      </w:r>
      <w:r w:rsidR="002E3DE7">
        <w:t>;</w:t>
      </w:r>
      <w:r>
        <w:t xml:space="preserve"> </w:t>
      </w:r>
      <w:r>
        <w:t xml:space="preserve">56,899 bookings </w:t>
      </w:r>
      <w:r>
        <w:t>but it's also our most expensive and least reliable channel. We pay a flat 30% commission on every booking, and 34.6% of them cancel before arrival, more than double Direct's 14.6% cancellation rate. Net effect: $4.38M lost to commission alone over the period, a meaningful share of it on bookings that never converted to a stay in the first place.</w:t>
      </w:r>
    </w:p>
    <w:p w14:paraId="080B59FB" w14:textId="297DF413" w:rsidR="00E42EF2" w:rsidRDefault="002E3DE7">
      <w:pPr>
        <w:spacing w:after="160"/>
      </w:pPr>
      <w:r>
        <w:t>Modelled</w:t>
      </w:r>
      <w:r w:rsidR="00ED7E71">
        <w:t xml:space="preserve"> against this dataset, shifting just 10% of OTA volume to Direct (</w:t>
      </w:r>
      <w:r w:rsidR="00ED7E71">
        <w:t>5,700 bookings) would save roughly $670K in commission and avoid an estimated 1,100+ cancellations</w:t>
      </w:r>
      <w:r>
        <w:t xml:space="preserve">, </w:t>
      </w:r>
      <w:r w:rsidR="00ED7E71">
        <w:t>the dual benefit of lower acquisition cost and higher booking reliability in one move.</w:t>
      </w:r>
    </w:p>
    <w:p w14:paraId="36879853" w14:textId="77777777" w:rsidR="00E42EF2" w:rsidRDefault="00ED7E71">
      <w:pPr>
        <w:spacing w:before="160" w:after="80"/>
      </w:pPr>
      <w:r>
        <w:rPr>
          <w:b/>
          <w:bCs/>
          <w:color w:val="457B9D"/>
        </w:rPr>
        <w:t>Recommendation</w:t>
      </w:r>
    </w:p>
    <w:p w14:paraId="0AEB7897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Prioritise Direct-channel growth in marketing spend allocation.</w:t>
      </w:r>
    </w:p>
    <w:p w14:paraId="067DFF24" w14:textId="039148C8" w:rsidR="00E42EF2" w:rsidRDefault="00ED7E71">
      <w:pPr>
        <w:pStyle w:val="ListParagraph"/>
        <w:numPr>
          <w:ilvl w:val="0"/>
          <w:numId w:val="2"/>
        </w:numPr>
        <w:spacing w:after="100"/>
      </w:pPr>
      <w:r>
        <w:t>Tighten enforcement on semi-flexible OTA cancellation terms</w:t>
      </w:r>
      <w:r w:rsidR="002E3DE7">
        <w:t>;</w:t>
      </w:r>
      <w:r>
        <w:t xml:space="preserve"> bookings with hotel-discretion cancellation policies.</w:t>
      </w:r>
    </w:p>
    <w:p w14:paraId="2AB1CA17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Have accounts payable actively reconcile that applicable cancellation and no-show fees are being captured, not waived by default.</w:t>
      </w:r>
    </w:p>
    <w:p w14:paraId="01A2AF2C" w14:textId="3725609B" w:rsidR="00E42EF2" w:rsidRDefault="00ED7E71">
      <w:pPr>
        <w:pStyle w:val="Heading2"/>
      </w:pPr>
      <w:r>
        <w:t>3.2</w:t>
      </w:r>
      <w:r>
        <w:t xml:space="preserve"> Lead time predicts cancellation risk, but rate structure determines the actual exposure</w:t>
      </w:r>
    </w:p>
    <w:p w14:paraId="5926E427" w14:textId="503FB0DB" w:rsidR="00E42EF2" w:rsidRDefault="00ED7E71">
      <w:pPr>
        <w:spacing w:after="160"/>
      </w:pPr>
      <w:r>
        <w:t>Cancellation rate rises sharply with lead time: 8.5% for bookings inside a week of arrival, climbing to 36.7% beyond 90 days</w:t>
      </w:r>
      <w:r w:rsidR="002E3DE7">
        <w:t>,</w:t>
      </w:r>
      <w:r>
        <w:t xml:space="preserve"> nearly 12,000 cancelled bookings in that bucket alone, averaging $114.83 ADR each. The mechanism is straightforward: long-lead bookings typically capture our best available rate, but a late cancellation on one of these leaves us reselling that room on short notice, with no guarantee the date still has the demand to absorb it.</w:t>
      </w:r>
    </w:p>
    <w:p w14:paraId="440B9CB6" w14:textId="01AE489F" w:rsidR="00E42EF2" w:rsidRDefault="00ED7E71">
      <w:pPr>
        <w:spacing w:after="160"/>
      </w:pPr>
      <w:r>
        <w:t>The real exposure sits specifically on refundable long-lead bookings</w:t>
      </w:r>
      <w:r w:rsidR="002E3DE7">
        <w:t>,</w:t>
      </w:r>
      <w:r>
        <w:t xml:space="preserve"> non-refundable bookings retain the revenue regardless of cancellation, so the risk there is closer to a forecasting and inventory-timing problem than a P&amp;L hit. One flag worth raising directly with reservations: Non-Refund-coded bookings in this dataset show a 95% cancellation rate, concentrated in Group and Offline TA bookings at City Hotel</w:t>
      </w:r>
      <w:r w:rsidR="002E3DE7">
        <w:t xml:space="preserve">; </w:t>
      </w:r>
      <w:r>
        <w:t>high enough to suggest this may reflect group-block adjustment patterns rather than individual guest behaviour, and worth a direct conversation before drawing further conclusions.</w:t>
      </w:r>
    </w:p>
    <w:p w14:paraId="0C87D0AE" w14:textId="77777777" w:rsidR="00E42EF2" w:rsidRDefault="00ED7E71">
      <w:pPr>
        <w:spacing w:before="160" w:after="80"/>
      </w:pPr>
      <w:r>
        <w:rPr>
          <w:b/>
          <w:bCs/>
          <w:color w:val="457B9D"/>
        </w:rPr>
        <w:t>Recommendation</w:t>
      </w:r>
    </w:p>
    <w:p w14:paraId="515D5F87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Tighten refundable rate availability on high-confidence, high-forecast dates; lead with non-refundable inventory where occupancy confidence is already strong.</w:t>
      </w:r>
    </w:p>
    <w:p w14:paraId="0626A05A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Preserve refundable options selectively, on softer-demand dates where flexibility still drives conversion.</w:t>
      </w:r>
    </w:p>
    <w:p w14:paraId="12E25C2A" w14:textId="17D6AF2D" w:rsidR="00E42EF2" w:rsidRDefault="00ED7E71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Investigate the </w:t>
      </w:r>
      <w:r w:rsidR="002E3DE7">
        <w:t>non-refund</w:t>
      </w:r>
      <w:r>
        <w:t xml:space="preserve"> / 95% cancellation pattern directly with reservations before drawing further conclusions.</w:t>
      </w:r>
    </w:p>
    <w:p w14:paraId="10F664F8" w14:textId="220AFF22" w:rsidR="00E42EF2" w:rsidRDefault="00ED7E71">
      <w:pPr>
        <w:pStyle w:val="Heading2"/>
      </w:pPr>
      <w:r>
        <w:t xml:space="preserve">3.3 </w:t>
      </w:r>
      <w:r>
        <w:t>Repeat guests under-monetised in the channel that costs us least</w:t>
      </w:r>
    </w:p>
    <w:p w14:paraId="578C29ED" w14:textId="080E1AF2" w:rsidR="00E42EF2" w:rsidRDefault="00ED7E71">
      <w:pPr>
        <w:spacing w:after="160"/>
      </w:pPr>
      <w:r>
        <w:t xml:space="preserve">Repeat </w:t>
      </w:r>
      <w:proofErr w:type="gramStart"/>
      <w:r>
        <w:t>guests</w:t>
      </w:r>
      <w:proofErr w:type="gramEnd"/>
      <w:r>
        <w:t xml:space="preserve"> book at a lower average rate ($70.23 vs. $107.30) but cancel at less than half the rate of first-timers (10.6% vs. 27.4%)</w:t>
      </w:r>
      <w:r>
        <w:t xml:space="preserve"> on a realised-revenue basis, a more dependable segment than the headline ADR suggests. Yet only 5.5% of Direct bookings (758 of 13,663) come from repeat guests; the larger concentration of repeat business</w:t>
      </w:r>
      <w:r w:rsidR="002E3DE7">
        <w:t xml:space="preserve">; </w:t>
      </w:r>
      <w:r>
        <w:t>1,536 bookings</w:t>
      </w:r>
      <w:r>
        <w:t xml:space="preserve"> currently </w:t>
      </w:r>
      <w:proofErr w:type="gramStart"/>
      <w:r>
        <w:t>sits</w:t>
      </w:r>
      <w:proofErr w:type="gramEnd"/>
      <w:r>
        <w:t xml:space="preserve"> in Corporate, a segment we don't control the rate strategy on the same way.</w:t>
      </w:r>
    </w:p>
    <w:p w14:paraId="37314CE7" w14:textId="77777777" w:rsidR="00E42EF2" w:rsidRDefault="00ED7E71">
      <w:pPr>
        <w:spacing w:before="160" w:after="80"/>
      </w:pPr>
      <w:r>
        <w:rPr>
          <w:b/>
          <w:bCs/>
          <w:color w:val="457B9D"/>
        </w:rPr>
        <w:t>Recommendation</w:t>
      </w:r>
    </w:p>
    <w:p w14:paraId="796011A8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Sustain CRM/loyalty investment, but redirect tactical focus toward migrating known repeat guests into Direct with targeted rate codes and packages.</w:t>
      </w:r>
    </w:p>
    <w:p w14:paraId="75924EC4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Every repeat guest moved from a commissioned or corporately-negotiated channel into Direct compounds the existing reliability advantage with a commission saving.</w:t>
      </w:r>
    </w:p>
    <w:p w14:paraId="08E4B569" w14:textId="202C64D2" w:rsidR="00E42EF2" w:rsidRDefault="00ED7E71">
      <w:pPr>
        <w:pStyle w:val="Heading2"/>
      </w:pPr>
      <w:r>
        <w:t xml:space="preserve">3.4 </w:t>
      </w:r>
      <w:r>
        <w:t>Room type mismatch tracks with overbooking strategy, not service failure</w:t>
      </w:r>
    </w:p>
    <w:p w14:paraId="49102887" w14:textId="3156E50F" w:rsidR="00E42EF2" w:rsidRDefault="00ED7E71">
      <w:pPr>
        <w:spacing w:after="160"/>
      </w:pPr>
      <w:r>
        <w:t xml:space="preserve">Mismatch rate is highest in Resort Hotel Corporate (50.2%) and Group bookings at both properties (33.9–34.5%) </w:t>
      </w:r>
      <w:r>
        <w:t>a pattern more consistent with deliberate overbooking of high-confidence categories and contracted block rebalancing than front-desk error. This dataset doesn't distinguish pre- and post-rebalancing allocation, so the operational read can't be fully confirmed from the numbers alone.</w:t>
      </w:r>
    </w:p>
    <w:p w14:paraId="0BEFA367" w14:textId="77777777" w:rsidR="00E42EF2" w:rsidRDefault="00ED7E71">
      <w:pPr>
        <w:spacing w:before="160" w:after="80"/>
      </w:pPr>
      <w:r>
        <w:rPr>
          <w:b/>
          <w:bCs/>
          <w:color w:val="457B9D"/>
        </w:rPr>
        <w:t>Recommendation</w:t>
      </w:r>
    </w:p>
    <w:p w14:paraId="035C7087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Validate this pattern against actual PMS allocation logs and review-score data before treating mismatch rate as a problem metric.</w:t>
      </w:r>
    </w:p>
    <w:p w14:paraId="0C5590CF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If guest upgrades are driving the Corporate/Group mismatch numbers, that may be a satisfaction lever worth surfacing rather than a defect to correct.</w:t>
      </w:r>
    </w:p>
    <w:p w14:paraId="49A11DA8" w14:textId="6D9E4E2F" w:rsidR="00E42EF2" w:rsidRDefault="00ED7E71">
      <w:pPr>
        <w:pStyle w:val="Heading2"/>
      </w:pPr>
      <w:r>
        <w:t xml:space="preserve">3.5 </w:t>
      </w:r>
      <w:r>
        <w:t>Pricing lags demand rather than leading it</w:t>
      </w:r>
    </w:p>
    <w:p w14:paraId="44FB824F" w14:textId="61EE2DF3" w:rsidR="00E42EF2" w:rsidRDefault="00ED7E71">
      <w:pPr>
        <w:spacing w:after="160"/>
      </w:pPr>
      <w:r>
        <w:t>ADR and booking volume both peak in July–August ($133.51 and $144.30 ADR against 7,867 and 9,364 bookings respectively) and trough in winter (</w:t>
      </w:r>
      <w:r>
        <w:t>$68–78 ADR, Jan/Nov/Dec), but rate movement consistently trails volume movement month over month</w:t>
      </w:r>
      <w:r w:rsidR="002E3DE7">
        <w:t>,</w:t>
      </w:r>
      <w:r>
        <w:t xml:space="preserve"> pricing appears reactive to realised demand rather than anticipatory.</w:t>
      </w:r>
    </w:p>
    <w:p w14:paraId="7FC2E717" w14:textId="77777777" w:rsidR="00E42EF2" w:rsidRDefault="00ED7E71">
      <w:pPr>
        <w:spacing w:before="160" w:after="80"/>
      </w:pPr>
      <w:r>
        <w:rPr>
          <w:b/>
          <w:bCs/>
          <w:color w:val="457B9D"/>
        </w:rPr>
        <w:t>Recommendation</w:t>
      </w:r>
    </w:p>
    <w:p w14:paraId="732847C0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Shift toward a forward pricing calendar that begins raising rates 4–6 weeks ahead of historical peak booking pace.</w:t>
      </w:r>
    </w:p>
    <w:p w14:paraId="6B558E41" w14:textId="09E810F6" w:rsidR="00E42EF2" w:rsidRDefault="00ED7E71">
      <w:pPr>
        <w:pStyle w:val="ListParagraph"/>
        <w:numPr>
          <w:ilvl w:val="0"/>
          <w:numId w:val="2"/>
        </w:numPr>
        <w:spacing w:after="100"/>
      </w:pPr>
      <w:r>
        <w:t>Validate against competitive set ADR data first</w:t>
      </w:r>
      <w:r w:rsidR="002E3DE7">
        <w:t>;</w:t>
      </w:r>
      <w:r>
        <w:t xml:space="preserve"> if current pricing is deliberately conservative to protect occupancy against a softer comp set, that changes the calculus.</w:t>
      </w:r>
    </w:p>
    <w:p w14:paraId="4C3F370B" w14:textId="77777777" w:rsidR="00E42EF2" w:rsidRDefault="00ED7E71">
      <w:pPr>
        <w:pStyle w:val="Heading1"/>
      </w:pPr>
      <w:r>
        <w:t>4. Data Quality &amp; Cleaning Notes</w:t>
      </w:r>
    </w:p>
    <w:p w14:paraId="302F7C56" w14:textId="77777777" w:rsidR="00E42EF2" w:rsidRDefault="00ED7E71">
      <w:pPr>
        <w:spacing w:after="160"/>
      </w:pPr>
      <w:r>
        <w:t>The following data quality issues were identified and corrected during cleaning, rather than ignored:</w:t>
      </w:r>
    </w:p>
    <w:p w14:paraId="28C1B2D4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41,191 exact duplicate rows removed from the original 141,947-row file.</w:t>
      </w:r>
    </w:p>
    <w:p w14:paraId="29F642B6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Negative or unexplained zero ADR values (outside genuine complimentary stays) treated as data entry errors and excluded.</w:t>
      </w:r>
    </w:p>
    <w:p w14:paraId="676A15D5" w14:textId="26DF5A1A" w:rsidR="00E42EF2" w:rsidRDefault="00ED7E71">
      <w:pPr>
        <w:pStyle w:val="ListParagraph"/>
        <w:numPr>
          <w:ilvl w:val="0"/>
          <w:numId w:val="2"/>
        </w:numPr>
        <w:spacing w:after="100"/>
      </w:pPr>
      <w:r>
        <w:t xml:space="preserve">One extreme ADR outlier ($5,400 vs a next-highest value of </w:t>
      </w:r>
      <w:r>
        <w:t>$510) capped to the dataset median rather than deleted outright.</w:t>
      </w:r>
    </w:p>
    <w:p w14:paraId="6BD484C9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lastRenderedPageBreak/>
        <w:t>90 records where reservation status and cancellation flag disagreed were resolved by treating reservation status as the authoritative field.</w:t>
      </w:r>
    </w:p>
    <w:p w14:paraId="52F70F40" w14:textId="77777777" w:rsidR="00E42EF2" w:rsidRDefault="00ED7E71">
      <w:pPr>
        <w:pStyle w:val="ListParagraph"/>
        <w:numPr>
          <w:ilvl w:val="0"/>
          <w:numId w:val="2"/>
        </w:numPr>
        <w:spacing w:after="100"/>
      </w:pPr>
      <w:r>
        <w:t>Bookings with zero guests or zero nights stayed were excluded, as these cannot generate room revenue.</w:t>
      </w:r>
    </w:p>
    <w:p w14:paraId="02FC8D2B" w14:textId="1C297723" w:rsidR="002E3DE7" w:rsidRDefault="00ED7E71" w:rsidP="002E3DE7">
      <w:pPr>
        <w:spacing w:after="160"/>
      </w:pPr>
      <w:r>
        <w:rPr>
          <w:i/>
          <w:iCs/>
        </w:rPr>
        <w:t>Full cleaning logic, SQL queries, and the Power BI file are available in the accompanying GitHub repository.</w:t>
      </w:r>
    </w:p>
    <w:p w14:paraId="2DC05CE6" w14:textId="61905BC7" w:rsidR="00E42EF2" w:rsidRDefault="00E42EF2">
      <w:pPr>
        <w:spacing w:after="160"/>
      </w:pPr>
    </w:p>
    <w:sectPr w:rsidR="00E42E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D5D6D"/>
    <w:multiLevelType w:val="hybridMultilevel"/>
    <w:tmpl w:val="E51A9EC4"/>
    <w:lvl w:ilvl="0" w:tplc="30327E52">
      <w:start w:val="1"/>
      <w:numFmt w:val="bullet"/>
      <w:lvlText w:val="●"/>
      <w:lvlJc w:val="left"/>
      <w:pPr>
        <w:ind w:left="720" w:hanging="360"/>
      </w:pPr>
    </w:lvl>
    <w:lvl w:ilvl="1" w:tplc="73D2A7C2">
      <w:start w:val="1"/>
      <w:numFmt w:val="bullet"/>
      <w:lvlText w:val="○"/>
      <w:lvlJc w:val="left"/>
      <w:pPr>
        <w:ind w:left="1440" w:hanging="360"/>
      </w:pPr>
    </w:lvl>
    <w:lvl w:ilvl="2" w:tplc="4838EFDA">
      <w:start w:val="1"/>
      <w:numFmt w:val="bullet"/>
      <w:lvlText w:val="■"/>
      <w:lvlJc w:val="left"/>
      <w:pPr>
        <w:ind w:left="2160" w:hanging="360"/>
      </w:pPr>
    </w:lvl>
    <w:lvl w:ilvl="3" w:tplc="338009A4">
      <w:start w:val="1"/>
      <w:numFmt w:val="bullet"/>
      <w:lvlText w:val="●"/>
      <w:lvlJc w:val="left"/>
      <w:pPr>
        <w:ind w:left="2880" w:hanging="360"/>
      </w:pPr>
    </w:lvl>
    <w:lvl w:ilvl="4" w:tplc="37762C2E">
      <w:start w:val="1"/>
      <w:numFmt w:val="bullet"/>
      <w:lvlText w:val="○"/>
      <w:lvlJc w:val="left"/>
      <w:pPr>
        <w:ind w:left="3600" w:hanging="360"/>
      </w:pPr>
    </w:lvl>
    <w:lvl w:ilvl="5" w:tplc="4324414C">
      <w:start w:val="1"/>
      <w:numFmt w:val="bullet"/>
      <w:lvlText w:val="■"/>
      <w:lvlJc w:val="left"/>
      <w:pPr>
        <w:ind w:left="4320" w:hanging="360"/>
      </w:pPr>
    </w:lvl>
    <w:lvl w:ilvl="6" w:tplc="69648304">
      <w:start w:val="1"/>
      <w:numFmt w:val="bullet"/>
      <w:lvlText w:val="●"/>
      <w:lvlJc w:val="left"/>
      <w:pPr>
        <w:ind w:left="5040" w:hanging="360"/>
      </w:pPr>
    </w:lvl>
    <w:lvl w:ilvl="7" w:tplc="B1664700">
      <w:start w:val="1"/>
      <w:numFmt w:val="bullet"/>
      <w:lvlText w:val="●"/>
      <w:lvlJc w:val="left"/>
      <w:pPr>
        <w:ind w:left="5760" w:hanging="360"/>
      </w:pPr>
    </w:lvl>
    <w:lvl w:ilvl="8" w:tplc="22CC73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C94B7E"/>
    <w:multiLevelType w:val="hybridMultilevel"/>
    <w:tmpl w:val="CF741AE6"/>
    <w:lvl w:ilvl="0" w:tplc="61988784">
      <w:start w:val="1"/>
      <w:numFmt w:val="bullet"/>
      <w:lvlText w:val="•"/>
      <w:lvlJc w:val="left"/>
      <w:pPr>
        <w:ind w:left="720" w:hanging="360"/>
      </w:pPr>
    </w:lvl>
    <w:lvl w:ilvl="1" w:tplc="40BCD638">
      <w:numFmt w:val="decimal"/>
      <w:lvlText w:val=""/>
      <w:lvlJc w:val="left"/>
    </w:lvl>
    <w:lvl w:ilvl="2" w:tplc="BA84037E">
      <w:numFmt w:val="decimal"/>
      <w:lvlText w:val=""/>
      <w:lvlJc w:val="left"/>
    </w:lvl>
    <w:lvl w:ilvl="3" w:tplc="49803306">
      <w:numFmt w:val="decimal"/>
      <w:lvlText w:val=""/>
      <w:lvlJc w:val="left"/>
    </w:lvl>
    <w:lvl w:ilvl="4" w:tplc="D4B01B7A">
      <w:numFmt w:val="decimal"/>
      <w:lvlText w:val=""/>
      <w:lvlJc w:val="left"/>
    </w:lvl>
    <w:lvl w:ilvl="5" w:tplc="87788118">
      <w:numFmt w:val="decimal"/>
      <w:lvlText w:val=""/>
      <w:lvlJc w:val="left"/>
    </w:lvl>
    <w:lvl w:ilvl="6" w:tplc="F314F2F2">
      <w:numFmt w:val="decimal"/>
      <w:lvlText w:val=""/>
      <w:lvlJc w:val="left"/>
    </w:lvl>
    <w:lvl w:ilvl="7" w:tplc="F528ADC2">
      <w:numFmt w:val="decimal"/>
      <w:lvlText w:val=""/>
      <w:lvlJc w:val="left"/>
    </w:lvl>
    <w:lvl w:ilvl="8" w:tplc="644E971C">
      <w:numFmt w:val="decimal"/>
      <w:lvlText w:val=""/>
      <w:lvlJc w:val="left"/>
    </w:lvl>
  </w:abstractNum>
  <w:num w:numId="1" w16cid:durableId="471942303">
    <w:abstractNumId w:val="0"/>
    <w:lvlOverride w:ilvl="0">
      <w:startOverride w:val="1"/>
    </w:lvlOverride>
  </w:num>
  <w:num w:numId="2" w16cid:durableId="11043073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F2"/>
    <w:rsid w:val="002E2C8C"/>
    <w:rsid w:val="002E3DE7"/>
    <w:rsid w:val="00E42EF2"/>
    <w:rsid w:val="00ED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CC80"/>
  <w15:docId w15:val="{9B032443-D2C0-42CE-9D2C-991C760A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D3557"/>
      </w:pBdr>
      <w:spacing w:before="360" w:after="180"/>
      <w:outlineLvl w:val="0"/>
    </w:pPr>
    <w:rPr>
      <w:b/>
      <w:bCs/>
      <w:color w:val="1D3557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D35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1036</Words>
  <Characters>5910</Characters>
  <Application>Microsoft Office Word</Application>
  <DocSecurity>0</DocSecurity>
  <Lines>49</Lines>
  <Paragraphs>13</Paragraphs>
  <ScaleCrop>false</ScaleCrop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Sambare</cp:lastModifiedBy>
  <cp:revision>2</cp:revision>
  <dcterms:created xsi:type="dcterms:W3CDTF">2026-06-21T09:18:00Z</dcterms:created>
  <dcterms:modified xsi:type="dcterms:W3CDTF">2026-06-21T09:18:00Z</dcterms:modified>
</cp:coreProperties>
</file>