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PathoAI – Clinical AI Decision-Support System</w:t>
      </w:r>
    </w:p>
    <w:p>
      <w:pPr>
        <w:spacing w:after="200"/>
        <w:jc w:val="center"/>
      </w:pPr>
      <w:r>
        <w:rPr>
          <w:i/>
          <w:color w:val="2E6DA4"/>
          <w:sz w:val="24"/>
        </w:rPr>
        <w:t>Nodal Metastasis Risk Prediction using Multi-Instance Learning (MIL)</w:t>
        <w:br/>
        <w:t>Project Technology Overview Document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1. Project Overview</w:t>
      </w:r>
    </w:p>
    <w:p>
      <w:pPr>
        <w:spacing w:after="80"/>
      </w:pPr>
      <w:r>
        <w:rPr>
          <w:sz w:val="22"/>
        </w:rPr>
        <w:t>PathoAI is a production-structured, end-to-end clinical AI decision-support web application designed to predict the risk of Nodal Metastasis from Biopsy Histology Images using Multi-Instance Learning (MIL).</w:t>
      </w:r>
    </w:p>
    <w:p>
      <w:pPr>
        <w:spacing w:after="80"/>
      </w:pPr>
      <w:r>
        <w:rPr>
          <w:sz w:val="22"/>
        </w:rPr>
        <w:t>The system assists pathologists and oncologists by analysing digitised biopsy slide images and generating a risk classification (LOW, MODERATE, or HIGH) for nodal metastasis, supporting clinical decision-making without replacing physician judgment.</w:t>
      </w:r>
    </w:p>
    <w:p>
      <w:pPr>
        <w:spacing w:after="80"/>
      </w:pPr>
      <w:r>
        <w:rPr>
          <w:sz w:val="22"/>
        </w:rPr>
        <w:t>The application follows a monorepo microservices architecture with three independently runnable services: a React frontend, a Node.js/Express backend, and a Python FastAPI AI inference service.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2. System Architecture</w:t>
      </w:r>
    </w:p>
    <w:p>
      <w:pPr>
        <w:spacing w:after="80"/>
      </w:pPr>
      <w:r>
        <w:rPr>
          <w:sz w:val="22"/>
        </w:rPr>
        <w:t>The system is organised as three loosely coupled tiers that communicate over HTTP:</w:t>
      </w:r>
    </w:p>
    <w:p>
      <w:pPr>
        <w:pStyle w:val="ListBullet"/>
        <w:spacing w:after="40"/>
      </w:pPr>
      <w:r>
        <w:rPr>
          <w:b/>
          <w:sz w:val="22"/>
        </w:rPr>
        <w:t>Frontend (React + Vite)</w:t>
      </w:r>
      <w:r>
        <w:rPr>
          <w:sz w:val="22"/>
        </w:rPr>
        <w:t xml:space="preserve"> – Clinical UI for doctors: patient management, biopsy upload, AI risk reports.</w:t>
      </w:r>
    </w:p>
    <w:p>
      <w:pPr>
        <w:pStyle w:val="ListBullet"/>
        <w:spacing w:after="40"/>
      </w:pPr>
      <w:r>
        <w:rPr>
          <w:b/>
          <w:sz w:val="22"/>
        </w:rPr>
        <w:t>Backend REST API (Node.js + Express)</w:t>
      </w:r>
      <w:r>
        <w:rPr>
          <w:sz w:val="22"/>
        </w:rPr>
        <w:t xml:space="preserve"> – Authentication, patient management, image uploads, inference orchestration.</w:t>
      </w:r>
    </w:p>
    <w:p>
      <w:pPr>
        <w:pStyle w:val="ListBullet"/>
        <w:spacing w:after="40"/>
      </w:pPr>
      <w:r>
        <w:rPr>
          <w:b/>
          <w:sz w:val="22"/>
        </w:rPr>
        <w:t>AI Inference Service (Python + FastAPI)</w:t>
      </w:r>
      <w:r>
        <w:rPr>
          <w:sz w:val="22"/>
        </w:rPr>
        <w:t xml:space="preserve"> – Receives biopsy images, runs MIL inference, returns risk scores.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2351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2351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Port</w:t>
            </w:r>
          </w:p>
        </w:tc>
        <w:tc>
          <w:tcPr>
            <w:tcW w:type="dxa" w:w="2351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Local URL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Frontend Web App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React 18 + Vite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http://localhost</w:t>
            </w:r>
          </w:p>
        </w:tc>
      </w:tr>
      <w:tr>
        <w:tc>
          <w:tcPr>
            <w:tcW w:type="dxa" w:w="2351"/>
            <w:shd w:val="clear" w:color="auto" w:fill="f0f5fb"/>
          </w:tcPr>
          <w:p>
            <w:r/>
            <w:r>
              <w:rPr>
                <w:sz w:val="20"/>
              </w:rPr>
              <w:t>Backend REST API</w:t>
            </w:r>
          </w:p>
        </w:tc>
        <w:tc>
          <w:tcPr>
            <w:tcW w:type="dxa" w:w="2351"/>
            <w:shd w:val="clear" w:color="auto" w:fill="f0f5fb"/>
          </w:tcPr>
          <w:p>
            <w:r/>
            <w:r>
              <w:rPr>
                <w:sz w:val="20"/>
              </w:rPr>
              <w:t>Node.js + Express + TypeScript</w:t>
            </w:r>
          </w:p>
        </w:tc>
        <w:tc>
          <w:tcPr>
            <w:tcW w:type="dxa" w:w="2351"/>
            <w:shd w:val="clear" w:color="auto" w:fill="f0f5fb"/>
          </w:tcPr>
          <w:p>
            <w:r/>
            <w:r>
              <w:rPr>
                <w:sz w:val="20"/>
              </w:rPr>
              <w:t>5000</w:t>
            </w:r>
          </w:p>
        </w:tc>
        <w:tc>
          <w:tcPr>
            <w:tcW w:type="dxa" w:w="2351"/>
            <w:shd w:val="clear" w:color="auto" w:fill="f0f5fb"/>
          </w:tcPr>
          <w:p>
            <w:r/>
            <w:r>
              <w:rPr>
                <w:sz w:val="20"/>
              </w:rPr>
              <w:t>http://localhost:5000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AI Inference Service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Python + FastAPI + MIL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8000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sz w:val="20"/>
              </w:rPr>
              <w:t>http://localhost:8000</w:t>
            </w:r>
          </w:p>
        </w:tc>
      </w:tr>
    </w:tbl>
    <w:p/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3. Technologies Used</w:t>
      </w:r>
    </w:p>
    <w:p>
      <w:pPr>
        <w:pStyle w:val="Heading2"/>
        <w:spacing w:before="280" w:after="80"/>
      </w:pPr>
      <w:r>
        <w:rPr>
          <w:b/>
          <w:color w:val="2E6DA4"/>
          <w:sz w:val="26"/>
        </w:rPr>
        <w:t>3.1  Frontend Technologies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React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18+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Component-based UI library for the clinical interface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5.x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Statically typed JavaScript for safer, scalable code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Vite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5.x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Lightning-fast build tool and development server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React Router DOM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6.x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Client-side routing and page navigation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Axios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HTTP client for REST API communication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React Context API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Built-in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Global state management for auth and toast notifications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CSS / Tailwind CSS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3.x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Responsive styling and UI layout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2E6DA4"/>
          <w:sz w:val="26"/>
        </w:rPr>
        <w:t>3.2  Backend Technologies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18+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Server-side JavaScript runtime environment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Express.js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4.x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Minimalist web framework for building the REST API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5.x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Type-safe server-side code with interfaces and validation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ts-node-dev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2.x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Hot-reload TypeScript execution for development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JSON Web Token (JWT)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Stateless session authentication and authorization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Bcryptjs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Secure password hashing with salt rounds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Multer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Multipart form-data handling for biopsy image uploads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@supabase/supabase-js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Supabase client for PostgreSQL database and file storage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Concurrently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10.x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Parallel process runner for monorepo unified startup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Jest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Unit and integration testing framework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2E6DA4"/>
          <w:sz w:val="26"/>
        </w:rPr>
        <w:t>3.3  AI / ML Inference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135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3.10+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Primary language for the AI microservice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FastAPI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0.110+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High-performance async web framework for the inference API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0.28+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ASGI server for running the FastAPI application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Pydantic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v2.6+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Data validation, serialisation and settings management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NumPy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1.26+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Numerical computation for MIL feature aggregation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Pillow (PIL)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10.2+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Biopsy image loading, decoding and preprocessing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PyTorch (optional)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2.2+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Deep learning backbone for CLAM / TransMIL / AB-MIL models</w:t>
            </w:r>
          </w:p>
        </w:tc>
      </w:tr>
      <w:tr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Torchvision (optional)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0.17+</w:t>
            </w:r>
          </w:p>
        </w:tc>
        <w:tc>
          <w:tcPr>
            <w:tcW w:type="dxa" w:w="3135"/>
            <w:shd w:val="clear" w:color="auto" w:fill="f0f5fb"/>
          </w:tcPr>
          <w:p>
            <w:r/>
            <w:r>
              <w:rPr>
                <w:sz w:val="20"/>
              </w:rPr>
              <w:t>Image transforms and pretrained feature extractors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OpenSlide (optional)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1.3+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sz w:val="20"/>
              </w:rPr>
              <w:t>Whole-slide gigapixel SVS/TIFF pathology image support</w:t>
            </w:r>
          </w:p>
        </w:tc>
      </w:tr>
    </w:tbl>
    <w:p/>
    <w:p>
      <w:pPr>
        <w:spacing w:after="80"/>
      </w:pPr>
      <w:r>
        <w:rPr>
          <w:sz w:val="22"/>
        </w:rPr>
        <w:t>⚠ PyTorch, Torchvision, and OpenSlide are optional. They are required only when connecting a real trained MIL model.</w:t>
      </w:r>
    </w:p>
    <w:p>
      <w:pPr>
        <w:pStyle w:val="Heading2"/>
        <w:spacing w:before="280" w:after="80"/>
      </w:pPr>
      <w:r>
        <w:rPr>
          <w:b/>
          <w:color w:val="2E6DA4"/>
          <w:sz w:val="26"/>
        </w:rPr>
        <w:t>3.4  Database &amp;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4703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Supabase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Backend-as-a-Service providing hosted PostgreSQL database and file storage</w:t>
            </w:r>
          </w:p>
        </w:tc>
      </w:tr>
      <w:tr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Relational database for doctors, patients, predictions and biopsy image records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In-Memory Store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Local dev fallback with pre-seeded demo data when Supabase is unavailable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2E6DA4"/>
          <w:sz w:val="26"/>
        </w:rPr>
        <w:t>3.5  Developer Tools &amp; DevOps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Tool</w:t>
            </w:r>
          </w:p>
        </w:tc>
        <w:tc>
          <w:tcPr>
            <w:tcW w:type="dxa" w:w="4703"/>
            <w:shd w:val="clear" w:color="auto" w:fill="1e3a5f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npm Monorepo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Single root project managing all three services with shared npm scripts</w:t>
            </w:r>
          </w:p>
        </w:tc>
      </w:tr>
      <w:tr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Concurrently</w:t>
            </w:r>
          </w:p>
        </w:tc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Runs frontend, backend, and AI service simultaneously with one command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ESLint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sz w:val="20"/>
              </w:rPr>
              <w:t>JavaScript and TypeScript code linting</w:t>
            </w:r>
          </w:p>
        </w:tc>
      </w:tr>
      <w:tr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4703"/>
            <w:shd w:val="clear" w:color="auto" w:fill="f0f5fb"/>
          </w:tcPr>
          <w:p>
            <w:r/>
            <w:r>
              <w:rPr>
                <w:sz w:val="20"/>
              </w:rPr>
              <w:t>Version control and source management</w:t>
            </w:r>
          </w:p>
        </w:tc>
      </w:tr>
    </w:tbl>
    <w:p/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4. Key Features</w:t>
      </w:r>
    </w:p>
    <w:p>
      <w:pPr>
        <w:pStyle w:val="ListBullet"/>
        <w:spacing w:after="60"/>
      </w:pPr>
      <w:r>
        <w:rPr>
          <w:b/>
          <w:sz w:val="22"/>
        </w:rPr>
        <w:t>Doctor Authentication &amp; Role Scoping</w:t>
      </w:r>
      <w:r>
        <w:rPr>
          <w:sz w:val="22"/>
        </w:rPr>
        <w:t xml:space="preserve"> – JWT-based secure login, bcrypt password hashing, and complete profile management. All patient data is strictly isolated per physician.</w:t>
      </w:r>
    </w:p>
    <w:p>
      <w:pPr>
        <w:pStyle w:val="ListBullet"/>
        <w:spacing w:after="60"/>
      </w:pPr>
      <w:r>
        <w:rPr>
          <w:b/>
          <w:sz w:val="22"/>
        </w:rPr>
        <w:t>Patient Clinical Registry</w:t>
      </w:r>
      <w:r>
        <w:rPr>
          <w:sz w:val="22"/>
        </w:rPr>
        <w:t xml:space="preserve"> – Searchable, filterable (gender/diagnosis), sortable and paginated medical records with full patient history.</w:t>
      </w:r>
    </w:p>
    <w:p>
      <w:pPr>
        <w:pStyle w:val="ListBullet"/>
        <w:spacing w:after="60"/>
      </w:pPr>
      <w:r>
        <w:rPr>
          <w:b/>
          <w:sz w:val="22"/>
        </w:rPr>
        <w:t>13-Step Prediction Workflow</w:t>
      </w:r>
      <w:r>
        <w:rPr>
          <w:sz w:val="22"/>
        </w:rPr>
        <w:t xml:space="preserve"> – Patient selection → biopsy slide upload (JPEG, PNG, TIFF, WebP, SVS) → validation → MIL inference → risk score → printable report.</w:t>
      </w:r>
    </w:p>
    <w:p>
      <w:pPr>
        <w:pStyle w:val="ListBullet"/>
        <w:spacing w:after="60"/>
      </w:pPr>
      <w:r>
        <w:rPr>
          <w:b/>
          <w:sz w:val="22"/>
        </w:rPr>
        <w:t>Risk Classification</w:t>
      </w:r>
      <w:r>
        <w:rPr>
          <w:sz w:val="22"/>
        </w:rPr>
        <w:t xml:space="preserve"> – LOW / MODERATE / HIGH nodal metastasis risk with probability and confidence scores from MIL attention pooling.</w:t>
      </w:r>
    </w:p>
    <w:p>
      <w:pPr>
        <w:pStyle w:val="ListBullet"/>
        <w:spacing w:after="60"/>
      </w:pPr>
      <w:r>
        <w:rPr>
          <w:b/>
          <w:sz w:val="22"/>
        </w:rPr>
        <w:t>Dual Inference Mode</w:t>
      </w:r>
      <w:r>
        <w:rPr>
          <w:sz w:val="22"/>
        </w:rPr>
        <w:t xml:space="preserve"> – Demo mode (deterministic simulation) and Real mode (Python MIL microservice).</w:t>
      </w:r>
    </w:p>
    <w:p>
      <w:pPr>
        <w:pStyle w:val="ListBullet"/>
        <w:spacing w:after="60"/>
      </w:pPr>
      <w:r>
        <w:rPr>
          <w:b/>
          <w:sz w:val="22"/>
        </w:rPr>
        <w:t>Printable Clinical Reports</w:t>
      </w:r>
      <w:r>
        <w:rPr>
          <w:sz w:val="22"/>
        </w:rPr>
        <w:t xml:space="preserve"> – PDF-ready reports with mandatory clinical disclaimers for all prediction outputs.</w:t>
      </w:r>
    </w:p>
    <w:p>
      <w:pPr>
        <w:pStyle w:val="ListBullet"/>
        <w:spacing w:after="60"/>
      </w:pPr>
      <w:r>
        <w:rPr>
          <w:b/>
          <w:sz w:val="22"/>
        </w:rPr>
        <w:t>In-Memory Fallback Database</w:t>
      </w:r>
      <w:r>
        <w:rPr>
          <w:sz w:val="22"/>
        </w:rPr>
        <w:t xml:space="preserve"> – Works offline with pre-seeded demo account (doctor@hospital.org / Password123!).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5. AI Model – Multi-Instance Learning (MIL)</w:t>
      </w:r>
    </w:p>
    <w:p>
      <w:pPr>
        <w:spacing w:after="80"/>
      </w:pPr>
      <w:r>
        <w:rPr>
          <w:sz w:val="22"/>
        </w:rPr>
        <w:t>The AI backbone uses Multi-Instance Learning (MIL), specifically the CLAM (Clustering-constrained Attention MIL) architecture. MIL is ideal for histopathology because:</w:t>
      </w:r>
    </w:p>
    <w:p>
      <w:pPr>
        <w:pStyle w:val="ListBullet"/>
        <w:spacing w:after="40"/>
      </w:pPr>
      <w:r>
        <w:rPr>
          <w:sz w:val="22"/>
        </w:rPr>
        <w:t>Whole-slide biopsy images are too large for single-pass inference (often gigapixels).</w:t>
      </w:r>
    </w:p>
    <w:p>
      <w:pPr>
        <w:pStyle w:val="ListBullet"/>
        <w:spacing w:after="40"/>
      </w:pPr>
      <w:r>
        <w:rPr>
          <w:sz w:val="22"/>
        </w:rPr>
        <w:t>MIL treats the slide as a "bag" of smaller image patches (instances).</w:t>
      </w:r>
    </w:p>
    <w:p>
      <w:pPr>
        <w:pStyle w:val="ListBullet"/>
        <w:spacing w:after="40"/>
      </w:pPr>
      <w:r>
        <w:rPr>
          <w:sz w:val="22"/>
        </w:rPr>
        <w:t>An attention mechanism weights the most diagnostically relevant patches.</w:t>
      </w:r>
    </w:p>
    <w:p>
      <w:pPr>
        <w:pStyle w:val="ListBullet"/>
        <w:spacing w:after="40"/>
      </w:pPr>
      <w:r>
        <w:rPr>
          <w:sz w:val="22"/>
        </w:rPr>
        <w:t>Bag-level prediction aggregates all patch-level features into a single risk score.</w:t>
      </w:r>
    </w:p>
    <w:p>
      <w:pPr>
        <w:spacing w:after="80"/>
      </w:pPr>
      <w:r>
        <w:rPr>
          <w:sz w:val="22"/>
        </w:rPr>
        <w:t>Model outputs: prediction result, risk category, probability score, confidence score, and bag statistics (total patches, high-attention patches, top feature score).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1"/>
        <w:spacing w:before="280" w:after="80"/>
      </w:pPr>
      <w:r>
        <w:rPr>
          <w:b/>
          <w:color w:val="1E3A5F"/>
          <w:sz w:val="32"/>
        </w:rPr>
        <w:t>6. Prerequisites &amp; Quick Start</w:t>
      </w:r>
    </w:p>
    <w:p>
      <w:pPr>
        <w:pStyle w:val="ListBullet"/>
        <w:spacing w:after="40"/>
      </w:pPr>
      <w:r>
        <w:rPr>
          <w:sz w:val="22"/>
        </w:rPr>
        <w:t>Node.js 18+ and npm 9+</w:t>
      </w:r>
    </w:p>
    <w:p>
      <w:pPr>
        <w:pStyle w:val="ListBullet"/>
        <w:spacing w:after="40"/>
      </w:pPr>
      <w:r>
        <w:rPr>
          <w:sz w:val="22"/>
        </w:rPr>
        <w:t>Python 3.10+ with pip</w:t>
      </w:r>
    </w:p>
    <w:p>
      <w:pPr>
        <w:pStyle w:val="ListBullet"/>
        <w:spacing w:after="40"/>
      </w:pPr>
      <w:r>
        <w:rPr>
          <w:sz w:val="22"/>
        </w:rPr>
        <w:t>Supabase account (optional – falls back to in-memory if not configured)</w:t>
      </w:r>
    </w:p>
    <w:p/>
    <w:p>
      <w:pPr>
        <w:spacing w:after="80"/>
      </w:pPr>
      <w:r>
        <w:rPr>
          <w:sz w:val="22"/>
        </w:rPr>
        <w:t>Install all dependencies:</w:t>
      </w:r>
    </w:p>
    <w:p>
      <w:pPr>
        <w:ind w:left="567"/>
      </w:pPr>
      <w:r>
        <w:rPr>
          <w:rFonts w:ascii="Courier New" w:hAnsi="Courier New"/>
          <w:sz w:val="20"/>
        </w:rPr>
        <w:t>npm run install:all</w:t>
      </w:r>
    </w:p>
    <w:p>
      <w:pPr>
        <w:spacing w:after="80"/>
      </w:pPr>
      <w:r>
        <w:rPr>
          <w:sz w:val="22"/>
        </w:rPr>
        <w:t>Start all services with one command:</w:t>
      </w:r>
    </w:p>
    <w:p>
      <w:pPr>
        <w:ind w:left="567"/>
      </w:pPr>
      <w:r>
        <w:rPr>
          <w:rFonts w:ascii="Courier New" w:hAnsi="Courier New"/>
          <w:sz w:val="20"/>
        </w:rPr>
        <w:t>npm run dev</w:t>
      </w:r>
    </w:p>
    <w:p>
      <w:pPr>
        <w:pBdr>
          <w:bottom w:val="single" w:sz="6" w:space="1" w:color="AAAAAA"/>
        </w:pBdr>
        <w:spacing w:after="160"/>
      </w:pPr>
    </w:p>
    <w:p>
      <w:pPr>
        <w:jc w:val="center"/>
      </w:pPr>
      <w:r>
        <w:rPr>
          <w:color w:val="666666"/>
          <w:sz w:val="16"/>
        </w:rPr>
        <w:t>PathoAI Clinical AI Decision-Support System  |  Document generated: September 2026  |  For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