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Homology</w:t>
      </w:r>
      <w:r>
        <w:t xml:space="preserve"> </w:t>
      </w:r>
      <w:r>
        <w:t xml:space="preserve">leakage</w:t>
      </w:r>
      <w:r>
        <w:t xml:space="preserve"> </w:t>
      </w:r>
      <w:r>
        <w:t xml:space="preserve">dominates</w:t>
      </w:r>
      <w:r>
        <w:t xml:space="preserve"> </w:t>
      </w:r>
      <w:r>
        <w:t xml:space="preserve">codon-optimization</w:t>
      </w:r>
      <w:r>
        <w:t xml:space="preserve"> </w:t>
      </w:r>
      <w:r>
        <w:t xml:space="preserve">benchmarks:</w:t>
      </w:r>
      <w:r>
        <w:t xml:space="preserve"> </w:t>
      </w:r>
      <w:r>
        <w:t xml:space="preserve">a</w:t>
      </w:r>
      <w:r>
        <w:t xml:space="preserve"> </w:t>
      </w:r>
      <w:r>
        <w:t xml:space="preserve">training-free</w:t>
      </w:r>
      <w:r>
        <w:t xml:space="preserve"> </w:t>
      </w:r>
      <w:r>
        <w:t xml:space="preserve">retrieval</w:t>
      </w:r>
      <w:r>
        <w:t xml:space="preserve"> </w:t>
      </w:r>
      <w:r>
        <w:t xml:space="preserve">baseline,</w:t>
      </w:r>
      <w:r>
        <w:t xml:space="preserve"> </w:t>
      </w:r>
      <w:r>
        <w:t xml:space="preserve">an</w:t>
      </w:r>
      <w:r>
        <w:t xml:space="preserve"> </w:t>
      </w:r>
      <w:r>
        <w:t xml:space="preserve">identity-controlled</w:t>
      </w:r>
      <w:r>
        <w:t xml:space="preserve"> </w:t>
      </w:r>
      <w:r>
        <w:t xml:space="preserve">evaluation,</w:t>
      </w:r>
      <w:r>
        <w:t xml:space="preserve"> </w:t>
      </w:r>
      <w:r>
        <w:t xml:space="preserve">and</w:t>
      </w:r>
      <w:r>
        <w:t xml:space="preserve"> </w:t>
      </w:r>
      <w:r>
        <w:t xml:space="preserve">a</w:t>
      </w:r>
      <w:r>
        <w:t xml:space="preserve"> </w:t>
      </w:r>
      <w:r>
        <w:t xml:space="preserve">strand-asymmetry</w:t>
      </w:r>
      <w:r>
        <w:t xml:space="preserve"> </w:t>
      </w:r>
      <w:r>
        <w:t xml:space="preserve">failure</w:t>
      </w:r>
      <w:r>
        <w:t xml:space="preserve"> </w:t>
      </w:r>
      <w:r>
        <w:t xml:space="preserve">mode</w:t>
      </w:r>
    </w:p>
    <w:p>
      <w:pPr>
        <w:pStyle w:val="Author"/>
      </w:pPr>
      <w:r>
        <w:t xml:space="preserve">Bonthada</w:t>
      </w:r>
      <w:r>
        <w:t xml:space="preserve"> </w:t>
      </w:r>
      <w:r>
        <w:t xml:space="preserve">Sravan</w:t>
      </w:r>
      <w:r>
        <w:t xml:space="preserve"> </w:t>
      </w:r>
      <w:r>
        <w:t xml:space="preserve">Kumar</w:t>
      </w:r>
    </w:p>
    <w:p>
      <w:pPr>
        <w:pStyle w:val="FirstParagraph"/>
      </w:pPr>
      <w:r>
        <w:rPr>
          <w:bCs/>
          <w:b/>
        </w:rPr>
        <w:t xml:space="preserve">Bonthada Sravan Kumar</w:t>
      </w:r>
    </w:p>
    <w:p>
      <w:pPr>
        <w:pStyle w:val="BodyText"/>
      </w:pPr>
      <w:r>
        <w:t xml:space="preserve">Department of Computer Science and Engineering, Indian Institute of Technology Patna, Bihta, Patna, Bihar 801106, India</w:t>
      </w:r>
    </w:p>
    <w:p>
      <w:pPr>
        <w:pStyle w:val="BodyText"/>
      </w:pPr>
      <w:r>
        <w:t xml:space="preserve">Corresponding author. E-mail: bonthada_ps2603mth58@iitp.ac.in; sravansaijohn@gmail.com. ORCID: 0009-0003-0718-3807</w:t>
      </w:r>
    </w:p>
    <w:p>
      <w:pPr>
        <w:pStyle w:val="BodyText"/>
      </w:pPr>
      <w:r>
        <w:t xml:space="preserve">Postal address: Department of Computer Science and Engineering, Indian Institute of Technology Patna, Bihta, Patna, Bihar 801106, India</w:t>
      </w:r>
    </w:p>
    <w:bookmarkStart w:id="20" w:name="abstract"/>
    <w:p>
      <w:pPr>
        <w:pStyle w:val="Heading2"/>
      </w:pPr>
      <w:r>
        <w:t xml:space="preserve">Abstract</w:t>
      </w:r>
    </w:p>
    <w:p>
      <w:pPr>
        <w:pStyle w:val="FirstParagraph"/>
      </w:pPr>
      <w:r>
        <w:t xml:space="preserve">Deep-learning codon optimizers are evaluated by how closely their output resembles the natural coding sequence of a held-out gene. We show that this protocol measures retrieval far more than codon design. Copying codons from the nearest same-gene training ortholog, a baseline requiring no training, attains BLEU-4 0.410 on a standard species-level split of 46 264 vertebrate mitochondrial coding sequences, exceeding a trained 25.2-million-parameter transformer at 0.313 and a fine-tuned CodonTransformer at 0.244. The cause is structural: although species overlap between training and test is exactly zero, the median held-out protein is 96.7% identical to its nearest same-gene training protein and 6.6% have a byte-identical protein sequence in training. Stratifying by identity shows that retrieval’s advantage is confined to, and grows with, the above-80% identity regime, which holds 96% of the test set; below it no method separates. The effect is not specific to mitochondria: on the public training corpus of a leading multispecies optimizer, copying attains BLEU-4 0.924 for Homo sapiens and 0.855 for Escherichia coli, and leakage tracks genome redundancy rather than clade. We release an identity-controlled benchmark on which copying falls to 0.206. There a single gene reverses the pooled conclusion: ND6, the only mitochondrial protein-coding gene transcribed from the light strand, carries inverted GC skew (+0.442 against -0.193 to -0.498 elsewhere), which the trained model reproduces with the wrong sign while an ortholog copy carries it implicitly. Supplying strand identity as one conditioning bit, 768 parameters, restores the sign and reverses the pooled conclusion.</w:t>
      </w:r>
    </w:p>
    <w:p>
      <w:pPr>
        <w:pStyle w:val="BodyText"/>
      </w:pPr>
      <w:r>
        <w:rPr>
          <w:bCs/>
          <w:b/>
        </w:rPr>
        <w:t xml:space="preserve">Keywords:</w:t>
      </w:r>
      <w:r>
        <w:t xml:space="preserve"> </w:t>
      </w:r>
      <w:r>
        <w:t xml:space="preserve">codon optimization; data leakage; sequence homology; benchmark design; evaluation methodology; mitochondrial genome</w:t>
      </w:r>
    </w:p>
    <w:bookmarkEnd w:id="20"/>
    <w:bookmarkStart w:id="25" w:name="introduction"/>
    <w:p>
      <w:pPr>
        <w:pStyle w:val="Heading2"/>
      </w:pPr>
      <w:r>
        <w:t xml:space="preserve">1. Introduction</w:t>
      </w:r>
    </w:p>
    <w:p>
      <w:pPr>
        <w:pStyle w:val="FirstParagraph"/>
      </w:pPr>
      <w:r>
        <w:t xml:space="preserve">Codon optimization — choosing among synonymous codons to encode a target protein — is a standard step in heterologous expression, mRNA-therapeutic design and synthetic-gene construction. The last three years have produced a rapid succession of deep-learning codon optimizers: context-aware transformers [1], recurrent models [2], rare-codon-preserving architectures [3], reinforcement-learning formulations [4], ribosome-profiling-guided generative models [5], constrained masked language models [6] and bidirectional state-space models with iterative masked decoding [7].</w:t>
      </w:r>
    </w:p>
    <w:p>
      <w:pPr>
        <w:pStyle w:val="BodyText"/>
      </w:pPr>
      <w:r>
        <w:t xml:space="preserve">Nearly all of these are evaluated, wholly or partly, by similarity to the natural coding sequence of a held-out gene — BLEU or</w:t>
      </w:r>
      <w:r>
        <w:t xml:space="preserve"> </w:t>
      </w:r>
      <w:r>
        <w:rPr>
          <w:iCs/>
          <w:i/>
        </w:rPr>
        <w:t xml:space="preserve">n</w:t>
      </w:r>
      <w:r>
        <w:t xml:space="preserve">-gram overlap, codon adaptation index, GC content, folding free energy. The implicit assumption is that resembling the evolved sequence indicates having learned the organism’s codon preferences.</w:t>
      </w:r>
    </w:p>
    <w:p>
      <w:pPr>
        <w:pStyle w:val="BodyText"/>
      </w:pPr>
      <w:r>
        <w:t xml:space="preserve">This paper examines that assumption and finds it unsafe. The difficulty is structural rather than incidental. Protein-coding genes are conserved across species; a held-out gene from one species typically has a close ortholog in the training set from another. Any model that implicitly memorizes codon choices of close homologs will therefore score well on similarity-to-natural without having learned anything transferable about codon design. The appropriate control is obvious in hindsight — compare against a baseline that simply copies codons from the nearest training ortholog — yet we are not aware of a single published codon-optimization study that reports it, including recent work whose models are explicitly ortholog-conditioned [11].</w:t>
      </w:r>
    </w:p>
    <w:p>
      <w:pPr>
        <w:pStyle w:val="BodyText"/>
      </w:pPr>
      <w:r>
        <w:t xml:space="preserve">We study this in vertebrate mitochondrial genomes, a setting with two useful properties: a well-defined, closed gene set (13 protein-coding genes) with dense species sampling, and a non-standard genetic code (NCBI translation table 2) that no current optimizer targets. Our contributions are:</w:t>
      </w:r>
    </w:p>
    <w:p>
      <w:pPr>
        <w:numPr>
          <w:ilvl w:val="0"/>
          <w:numId w:val="1001"/>
        </w:numPr>
        <w:pStyle w:val="Compact"/>
      </w:pPr>
      <w:r>
        <w:rPr>
          <w:bCs/>
          <w:b/>
        </w:rPr>
        <w:t xml:space="preserve">A homology-copy baseline for codon optimization</w:t>
      </w:r>
      <w:r>
        <w:t xml:space="preserve"> </w:t>
      </w:r>
      <w:r>
        <w:t xml:space="preserve">(Section 2.3), verified by two independent implementations agreeing to four decimal places. It requires no training and beats a trained transformer on a standard species-level split.</w:t>
      </w:r>
    </w:p>
    <w:p>
      <w:pPr>
        <w:numPr>
          <w:ilvl w:val="0"/>
          <w:numId w:val="1001"/>
        </w:numPr>
        <w:pStyle w:val="Compact"/>
      </w:pPr>
      <w:r>
        <w:rPr>
          <w:bCs/>
          <w:b/>
        </w:rPr>
        <w:t xml:space="preserve">Quantification of homology leakage</w:t>
      </w:r>
      <w:r>
        <w:t xml:space="preserve"> </w:t>
      </w:r>
      <w:r>
        <w:t xml:space="preserve">(Section 3.1). Species-level splitting, though correctly executed, leaves the median held-out protein 96.7% identical to training and 6.6% exactly identical.</w:t>
      </w:r>
    </w:p>
    <w:p>
      <w:pPr>
        <w:numPr>
          <w:ilvl w:val="0"/>
          <w:numId w:val="1001"/>
        </w:numPr>
        <w:pStyle w:val="Compact"/>
      </w:pPr>
      <w:r>
        <w:rPr>
          <w:bCs/>
          <w:b/>
        </w:rPr>
        <w:t xml:space="preserve">An identity-stratified evaluation protocol</w:t>
      </w:r>
      <w:r>
        <w:t xml:space="preserve"> </w:t>
      </w:r>
      <w:r>
        <w:t xml:space="preserve">(Section 3.3) showing that retrieval’s advantage is confined to, and grows with, the &gt;80% identity regime, while below it no method separates — and that regime holds only 4% of the standard test set.</w:t>
      </w:r>
    </w:p>
    <w:p>
      <w:pPr>
        <w:numPr>
          <w:ilvl w:val="0"/>
          <w:numId w:val="1001"/>
        </w:numPr>
        <w:pStyle w:val="Compact"/>
      </w:pPr>
      <w:r>
        <w:rPr>
          <w:bCs/>
          <w:b/>
        </w:rPr>
        <w:t xml:space="preserve">A cross-corpus replication</w:t>
      </w:r>
      <w:r>
        <w:t xml:space="preserve"> </w:t>
      </w:r>
      <w:r>
        <w:t xml:space="preserve">(Section 3.8) on the released training corpus of a leading multispecies codon optimizer, covering eight organisms across bacteria, fungi, plants, invertebrates and vertebrates. Leakage is severe wherever the genome is redundant, and is worse for human and</w:t>
      </w:r>
      <w:r>
        <w:t xml:space="preserve"> </w:t>
      </w:r>
      <w:r>
        <w:rPr>
          <w:iCs/>
          <w:i/>
        </w:rPr>
        <w:t xml:space="preserve">E. coli</w:t>
      </w:r>
      <w:r>
        <w:t xml:space="preserve"> </w:t>
      </w:r>
      <w:r>
        <w:t xml:space="preserve">than for mitochondria.</w:t>
      </w:r>
    </w:p>
    <w:p>
      <w:pPr>
        <w:numPr>
          <w:ilvl w:val="0"/>
          <w:numId w:val="1001"/>
        </w:numPr>
        <w:pStyle w:val="Compact"/>
      </w:pPr>
      <w:r>
        <w:rPr>
          <w:bCs/>
          <w:b/>
        </w:rPr>
        <w:t xml:space="preserve">A gene-dependent conservation ceiling</w:t>
      </w:r>
      <w:r>
        <w:t xml:space="preserve"> </w:t>
      </w:r>
      <w:r>
        <w:t xml:space="preserve">(Section 3.4). Attainable benchmark difficulty varies by an order of magnitude across genes, and for four of thirteen an identity-controlled test set cannot be constructed at all.</w:t>
      </w:r>
    </w:p>
    <w:p>
      <w:pPr>
        <w:numPr>
          <w:ilvl w:val="0"/>
          <w:numId w:val="1001"/>
        </w:numPr>
        <w:pStyle w:val="Compact"/>
      </w:pPr>
      <w:r>
        <w:rPr>
          <w:bCs/>
          <w:b/>
        </w:rPr>
        <w:t xml:space="preserve">A released identity-controlled benchmark</w:t>
      </w:r>
      <w:r>
        <w:t xml:space="preserve"> </w:t>
      </w:r>
      <w:r>
        <w:t xml:space="preserve">(Section 3.5), with the guarantee enforced exactly rather than approximately.</w:t>
      </w:r>
    </w:p>
    <w:p>
      <w:pPr>
        <w:numPr>
          <w:ilvl w:val="0"/>
          <w:numId w:val="1001"/>
        </w:numPr>
        <w:pStyle w:val="Compact"/>
      </w:pPr>
      <w:r>
        <w:rPr>
          <w:bCs/>
          <w:b/>
        </w:rPr>
        <w:t xml:space="preserve">Strand-asymmetry blindness</w:t>
      </w:r>
      <w:r>
        <w:t xml:space="preserve"> </w:t>
      </w:r>
      <w:r>
        <w:t xml:space="preserve">(Section 3.6): a mechanistically explained, measurable failure mode in which a single gene flips the pooled conclusion, together with a 768-parameter remedy.</w:t>
      </w:r>
    </w:p>
    <w:p>
      <w:pPr>
        <w:pStyle w:val="FirstParagraph"/>
      </w:pPr>
      <w:r>
        <w:t xml:space="preserve">We emphasise what this paper does</w:t>
      </w:r>
      <w:r>
        <w:t xml:space="preserve"> </w:t>
      </w:r>
      <w:r>
        <w:rPr>
          <w:iCs/>
          <w:i/>
        </w:rPr>
        <w:t xml:space="preserve">not</w:t>
      </w:r>
      <w:r>
        <w:t xml:space="preserve"> </w:t>
      </w:r>
      <w:r>
        <w:t xml:space="preserve">claim. We propose no new architecture, loss or metric. The phenomenon that strong retrieval baselines can match or beat neural models is well known in machine learning generally [13], [14], and the compositional asymmetry of the mitochondrial light strand is long-established biology [15], [16], [17]. The contribution is to show that this field’s standard evaluation does not control for the first, that its models ignore the second, and that both are visible only when pooled numbers are disaggregated.</w:t>
      </w:r>
    </w:p>
    <w:bookmarkStart w:id="21" w:name="deep-learning-codon-optimization"/>
    <w:p>
      <w:pPr>
        <w:pStyle w:val="Heading3"/>
      </w:pPr>
      <w:r>
        <w:t xml:space="preserve">1.1. Deep-learning codon optimization</w:t>
      </w:r>
    </w:p>
    <w:p>
      <w:pPr>
        <w:pStyle w:val="FirstParagraph"/>
      </w:pPr>
      <w:r>
        <w:t xml:space="preserve">CodonTransformer [1] is a context-aware transformer trained on over one million DNA–protein pairs across 164 organisms. DeepCodon [3] preserves conserved rare-codon clusters; ICOR [2] uses a bidirectional recurrent network; CodonRL [4] frames codon choice as demonstration-guided reinforcement learning; RiboDecode [5] integrates ribosome-profiling signal and includes in vitro validation. More recently, SynCodonLM [6] introduced synonymous-codon-constrained masking, in which logits for non-synonymous codons are set to −∞, and CodonMamba [7] combines synonym-aware logit masking with a twelve-step iterative mask-and-predict decoding schedule. Larger genomic foundation models [8], [9] address adjacent but distinct tasks.</w:t>
      </w:r>
    </w:p>
    <w:p>
      <w:pPr>
        <w:pStyle w:val="BodyText"/>
      </w:pPr>
      <w:r>
        <w:t xml:space="preserve">Critically for this paper,</w:t>
      </w:r>
      <w:r>
        <w:t xml:space="preserve"> </w:t>
      </w:r>
      <w:r>
        <w:rPr>
          <w:iCs/>
          <w:i/>
        </w:rPr>
        <w:t xml:space="preserve">none</w:t>
      </w:r>
      <w:r>
        <w:t xml:space="preserve"> </w:t>
      </w:r>
      <w:r>
        <w:t xml:space="preserve">of these works reports a nearest-ortholog copy baseline. CodonMamba, the most recent, compares against CAI optimization, LinearDesign, codonGPT, CodonTransformer and GEMORNA. This is not an isolated omission but a field-wide convention.</w:t>
      </w:r>
    </w:p>
    <w:bookmarkEnd w:id="21"/>
    <w:bookmarkStart w:id="22" w:name="Xca5292b6908aa41d54f264f3b83dcdaf2a4e3f6"/>
    <w:p>
      <w:pPr>
        <w:pStyle w:val="Heading3"/>
      </w:pPr>
      <w:r>
        <w:t xml:space="preserve">1.2. Ortholog- and retrieval-conditioned models</w:t>
      </w:r>
    </w:p>
    <w:p>
      <w:pPr>
        <w:pStyle w:val="FirstParagraph"/>
      </w:pPr>
      <w:r>
        <w:t xml:space="preserve">Several recent models use homologous sequence explicitly. An mBART-based model predicts codon sequences either from the amino-acid sequence alone or guided by an accompanying ortholog nucleotide sequence [10]; and OrthologTransformer converts orthologous genes between species, leveraging ortholog information directly to redesign a gene for a new host [11]. Retrieval augmentation is likewise established in protein representation learning [12]. That this literature exists while the trivial copy control does not is precisely the gap we document: models are being given ortholog information without first establishing what ortholog information alone is worth.</w:t>
      </w:r>
    </w:p>
    <w:bookmarkEnd w:id="22"/>
    <w:bookmarkStart w:id="23" w:name="what-these-evaluations-actually-report"/>
    <w:p>
      <w:pPr>
        <w:pStyle w:val="Heading3"/>
      </w:pPr>
      <w:r>
        <w:t xml:space="preserve">1.3. What these evaluations actually report</w:t>
      </w:r>
    </w:p>
    <w:p>
      <w:pPr>
        <w:pStyle w:val="FirstParagraph"/>
      </w:pPr>
      <w:r>
        <w:t xml:space="preserve">Table 1 records what each of nine accessible published evaluations actually compares against. Frequency and algorithmic baselines are near-universal and several papers compare against other neural models, but the ortholog-copy column is empty: 0 of 9 report such a control. The closest instance is the mBART codon model, which conditions on an ortholog and reports a frequency-rank</w:t>
      </w:r>
      <w:r>
        <w:t xml:space="preserve"> </w:t>
      </w:r>
      <w:r>
        <w:rPr>
          <w:iCs/>
          <w:i/>
        </w:rPr>
        <w:t xml:space="preserve">mimicking</w:t>
      </w:r>
      <w:r>
        <w:t xml:space="preserve"> </w:t>
      </w:r>
      <w:r>
        <w:t xml:space="preserve">model — but not what copying that ortholog’s codons alone achieves, which is the quantity that decides whether the conditioning is doing any work. We could not obtain the full baseline tables of two further cited papers, which are therefore counted neither for nor against this claim. The survey is released as</w:t>
      </w:r>
      <w:r>
        <w:t xml:space="preserve"> </w:t>
      </w:r>
      <w:r>
        <w:rPr>
          <w:rStyle w:val="VerbatimChar"/>
        </w:rPr>
        <w:t xml:space="preserve">data/literature_baseline_survey.json</w:t>
      </w:r>
      <w:r>
        <w:t xml:space="preserve"> </w:t>
      </w:r>
      <w:r>
        <w:t xml:space="preserve">so that it can be checked and extended.</w:t>
      </w:r>
    </w:p>
    <w:bookmarkEnd w:id="23"/>
    <w:bookmarkStart w:id="24" w:name="X4ee22ccab9b585b625123863f6a2bdfd41c04cd"/>
    <w:p>
      <w:pPr>
        <w:pStyle w:val="Heading3"/>
      </w:pPr>
      <w:r>
        <w:t xml:space="preserve">1.4. Homology-aware evaluation in sequence models</w:t>
      </w:r>
    </w:p>
    <w:p>
      <w:pPr>
        <w:pStyle w:val="FirstParagraph"/>
      </w:pPr>
      <w:r>
        <w:t xml:space="preserve">Controlling train/test sequence identity is routine in protein machine learning, where CD-HIT-style clustering at a fixed identity threshold [19] is standard practice for constructing splits. The specific problem that genomic homology inflates held-out performance has recently been characterised directly. Work on genome-trained sequence models shows that traditional approaches for dividing genomic sequences into training and test data fail to account for the widespread homology that permeates the genome, that homology-based data leakage can lead to overestimation of predictive models, and that performance varies systematically with the degree of homology between test and training sequences; the hashFrag tool is offered for homology detection and data partitioning, supporting the removal of leakage from existing splits, stratification of a test set by homology, and construction of homology-aware splits [24]. DataSAIL formulates leakage-reduced splitting as a combinatorial optimisation problem and provides a general tool for biological data [25]. A recent benchmark of knowledge-graph embedding models for biomedical link prediction reports the same qualitative pattern we observe, with apparent performance collapsing once train-test redundancy is removed [26].</w:t>
      </w:r>
    </w:p>
    <w:p>
      <w:pPr>
        <w:pStyle w:val="BodyText"/>
      </w:pPr>
      <w:r>
        <w:t xml:space="preserve">Our contribution differs from these in three respects. First, the task differs: those works concern sequence-to-function predictors, link prediction and variant classification, whereas codon optimization is a generation task scored by similarity to a reference, so the leakage channel runs through the reference sequence itself rather than through a label. Second, and centrally, we do not only diagnose leakage - we show that a training-free retrieval baseline outperforms trained models under the standard protocol, which converts the problem from a caveat into a falsification of the comparison being reported. Third, we show that the attainable margin is gene-dependent to the point that four of thirteen genes admit no identity-controlled test at all. Our identity-stratified protocol (Section 3.3) applies the established stratification idea to codon optimization, where it is not currently used.</w:t>
      </w:r>
    </w:p>
    <w:bookmarkEnd w:id="24"/>
    <w:bookmarkEnd w:id="25"/>
    <w:bookmarkStart w:id="35" w:name="materials-and-methods"/>
    <w:p>
      <w:pPr>
        <w:pStyle w:val="Heading2"/>
      </w:pPr>
      <w:r>
        <w:t xml:space="preserve">2. Materials and methods</w:t>
      </w:r>
    </w:p>
    <w:bookmarkStart w:id="26" w:name="dataset"/>
    <w:p>
      <w:pPr>
        <w:pStyle w:val="Heading3"/>
      </w:pPr>
      <w:r>
        <w:t xml:space="preserve">2.1. Dataset</w:t>
      </w:r>
    </w:p>
    <w:p>
      <w:pPr>
        <w:pStyle w:val="FirstParagraph"/>
      </w:pPr>
      <w:r>
        <w:t xml:space="preserve">Coding sequences for the 13 mitochondrial protein-coding genes were retrieved from NCBI across vertebrate mitochondrial genome records and passed through an eight-stage quality-control pipeline (format integrity, nucleotide composition, CDS structural validity, genetic-code compliance under translation table 2, biological plausibility, exact-duplicate detection, taxonomic completeness, dataset-level adequacy). After near-duplicate removal at 95% nucleotide identity this yields 46 264 unique sequences from 3,762 species. The published species-level split assigns sequences to train/validation/test by species identity, giving 36 471/4,638/5,155 sequences with zero species overlap.</w:t>
      </w:r>
    </w:p>
    <w:bookmarkEnd w:id="26"/>
    <w:bookmarkStart w:id="27" w:name="sequence-identity"/>
    <w:p>
      <w:pPr>
        <w:pStyle w:val="Heading3"/>
      </w:pPr>
      <w:r>
        <w:t xml:space="preserve">2.2. Sequence identity</w:t>
      </w:r>
    </w:p>
    <w:p>
      <w:pPr>
        <w:pStyle w:val="FirstParagraph"/>
      </w:pPr>
      <w:r>
        <w:t xml:space="preserve">Throughout, identity between two proteins is</w:t>
      </w:r>
      <w:r>
        <w:t xml:space="preserve"> </w:t>
      </w:r>
      <m:oMath>
        <m:r>
          <m:t>1</m:t>
        </m:r>
        <m:r>
          <m:rPr>
            <m:sty m:val="p"/>
          </m:rPr>
          <m:t>−</m:t>
        </m:r>
        <m:sSub>
          <m:e>
            <m:r>
              <m:t>d</m:t>
            </m:r>
          </m:e>
          <m:sub>
            <m:r>
              <m:rPr>
                <m:nor/>
                <m:sty m:val="p"/>
              </m:rPr>
              <m:t>edit</m:t>
            </m:r>
          </m:sub>
        </m:sSub>
        <m:r>
          <m:rPr>
            <m:sty m:val="p"/>
          </m:rPr>
          <m:t>/</m:t>
        </m:r>
        <m:r>
          <m:rPr>
            <m:sty m:val="p"/>
          </m:rPr>
          <m:t>max</m:t>
        </m:r>
        <m:d>
          <m:dPr>
            <m:begChr m:val="("/>
            <m:endChr m:val=")"/>
            <m:sepChr m:val=""/>
            <m:grow/>
          </m:dPr>
          <m:e>
            <m:d>
              <m:dPr>
                <m:begChr m:val="|"/>
                <m:endChr m:val="|"/>
                <m:sepChr m:val=""/>
                <m:grow/>
              </m:dPr>
              <m:e>
                <m:r>
                  <m:t>a</m:t>
                </m:r>
              </m:e>
            </m:d>
            <m:r>
              <m:rPr>
                <m:sty m:val="p"/>
              </m:rPr>
              <m:t>,</m:t>
            </m:r>
            <m:d>
              <m:dPr>
                <m:begChr m:val="|"/>
                <m:endChr m:val="|"/>
                <m:sepChr m:val=""/>
                <m:grow/>
              </m:dPr>
              <m:e>
                <m:r>
                  <m:t>b</m:t>
                </m:r>
              </m:e>
            </m:d>
          </m:e>
        </m:d>
      </m:oMath>
      <w:r>
        <w:t xml:space="preserve">, where</w:t>
      </w:r>
      <w:r>
        <w:t xml:space="preserve"> </w:t>
      </w:r>
      <m:oMath>
        <m:sSub>
          <m:e>
            <m:r>
              <m:t>d</m:t>
            </m:r>
          </m:e>
          <m:sub>
            <m:r>
              <m:rPr>
                <m:nor/>
                <m:sty m:val="p"/>
              </m:rPr>
              <m:t>edit</m:t>
            </m:r>
          </m:sub>
        </m:sSub>
      </m:oMath>
      <w:r>
        <w:t xml:space="preserve"> </w:t>
      </w:r>
      <w:r>
        <w:t xml:space="preserve">is global Levenshtein distance computed with edlib [20]. We use one definition everywhere so that reported identities, stratum boundaries and split thresholds are mutually comparable; an alternative normalisation (matches over query length) changes the headline median from 0.967 to 0.968 and no conclusion.</w:t>
      </w:r>
    </w:p>
    <w:bookmarkEnd w:id="27"/>
    <w:bookmarkStart w:id="28" w:name="the-ortholog-copy-baseline"/>
    <w:p>
      <w:pPr>
        <w:pStyle w:val="Heading3"/>
      </w:pPr>
      <w:r>
        <w:t xml:space="preserve">2.3. The ortholog-copy baseline</w:t>
      </w:r>
    </w:p>
    <w:p>
      <w:pPr>
        <w:pStyle w:val="FirstParagraph"/>
      </w:pPr>
      <w:r>
        <w:t xml:space="preserve">Given a target protein, we find the most similar same-gene protein in the</w:t>
      </w:r>
      <w:r>
        <w:t xml:space="preserve"> </w:t>
      </w:r>
      <w:r>
        <w:rPr>
          <w:iCs/>
          <w:i/>
        </w:rPr>
        <w:t xml:space="preserve">training</w:t>
      </w:r>
      <w:r>
        <w:t xml:space="preserve"> </w:t>
      </w:r>
      <w:r>
        <w:t xml:space="preserve">split, align the two globally, and construct a coding sequence by copying the training sequence’s codon at every aligned position where the amino acids agree. At remaining positions we emit the gene-specific most frequent codon for that amino acid. A terminal stop codon is appended only when the reference carries one (9 of 46 264 QC-passed records are truncated CDS lacking a stop; appending unconditionally corrupts their BLEU).</w:t>
      </w:r>
    </w:p>
    <w:p>
      <w:pPr>
        <w:pStyle w:val="BodyText"/>
      </w:pPr>
      <w:r>
        <w:t xml:space="preserve">This baseline involves no training and no learned parameters.</w:t>
      </w:r>
    </w:p>
    <w:p>
      <w:pPr>
        <w:pStyle w:val="BodyText"/>
      </w:pPr>
      <w:r>
        <w:t xml:space="preserve">Because the result is central, we implemented it twice independently: once with Biopython’s</w:t>
      </w:r>
      <w:r>
        <w:t xml:space="preserve"> </w:t>
      </w:r>
      <w:r>
        <w:rPr>
          <w:rStyle w:val="VerbatimChar"/>
        </w:rPr>
        <w:t xml:space="preserve">PairwiseAligner</w:t>
      </w:r>
      <w:r>
        <w:t xml:space="preserve"> </w:t>
      </w:r>
      <w:r>
        <w:t xml:space="preserve">under a 3-mer prefilter, and once with edlib under an</w:t>
      </w:r>
      <w:r>
        <w:t xml:space="preserve"> </w:t>
      </w:r>
      <w:r>
        <w:rPr>
          <w:iCs/>
          <w:i/>
        </w:rPr>
        <w:t xml:space="preserve">exhaustive</w:t>
      </w:r>
      <w:r>
        <w:t xml:space="preserve"> </w:t>
      </w:r>
      <w:r>
        <w:t xml:space="preserve">same-gene search (removing any prefilter approximation). The two agree to four decimal places (BLEU-4 0.40973 versus 0.40987).</w:t>
      </w:r>
    </w:p>
    <w:bookmarkEnd w:id="28"/>
    <w:bookmarkStart w:id="29" w:name="identity-controlled-split-construction"/>
    <w:p>
      <w:pPr>
        <w:pStyle w:val="Heading3"/>
      </w:pPr>
      <w:r>
        <w:t xml:space="preserve">2.4. Identity-controlled split construction</w:t>
      </w:r>
    </w:p>
    <w:p>
      <w:pPr>
        <w:pStyle w:val="FirstParagraph"/>
      </w:pPr>
      <w:r>
        <w:t xml:space="preserve">We cluster each gene’s proteins greedily, longest-first, at a 70% identity threshold in CD-HIT style, then link clusters and species with a union–find structure and assign connected components to splits.</w:t>
      </w:r>
    </w:p>
    <w:p>
      <w:pPr>
        <w:pStyle w:val="BodyText"/>
      </w:pPr>
      <w:r>
        <w:t xml:space="preserve">Two findings emerged from this construction and are reported as results rather than methodology. First, a</w:t>
      </w:r>
      <w:r>
        <w:t xml:space="preserve"> </w:t>
      </w:r>
      <w:r>
        <w:rPr>
          <w:iCs/>
          <w:i/>
        </w:rPr>
        <w:t xml:space="preserve">genome-consistent</w:t>
      </w:r>
      <w:r>
        <w:t xml:space="preserve"> </w:t>
      </w:r>
      <w:r>
        <w:t xml:space="preserve">identity-controlled split is impossible: the union–find collapses into a single component spanning 100% of the data, because at 70% identity COX1 forms only two clusters and therefore links essentially every vertebrate species. Identity control is attainable only per gene, which we adopt, disclosing that a species may then be in training for one gene and in test for another (different proteins).</w:t>
      </w:r>
    </w:p>
    <w:p>
      <w:pPr>
        <w:pStyle w:val="BodyText"/>
      </w:pPr>
      <w:r>
        <w:t xml:space="preserve">Second, greedy representative-based clustering is</w:t>
      </w:r>
      <w:r>
        <w:t xml:space="preserve"> </w:t>
      </w:r>
      <w:r>
        <w:rPr>
          <w:iCs/>
          <w:i/>
        </w:rPr>
        <w:t xml:space="preserve">leaky</w:t>
      </w:r>
      <w:r>
        <w:t xml:space="preserve">: because each sequence is compared only to cluster representatives, two sequences in different clusters may still exceed the threshold. After clustering, 73.5% of test sequences still violated the intended bound. We therefore compute the exact maximum identity to training for every validation and test sequence and discard violators, converting an approximate guarantee into an exact one at the cost of a smaller test set.</w:t>
      </w:r>
    </w:p>
    <w:bookmarkEnd w:id="29"/>
    <w:bookmarkStart w:id="30" w:name="model"/>
    <w:p>
      <w:pPr>
        <w:pStyle w:val="Heading3"/>
      </w:pPr>
      <w:r>
        <w:t xml:space="preserve">2.5. Model</w:t>
      </w:r>
    </w:p>
    <w:p>
      <w:pPr>
        <w:pStyle w:val="FirstParagraph"/>
      </w:pPr>
      <w:r>
        <w:t xml:space="preserve">To study a trained model we use a 25.2M-parameter encoder–decoder transformer (</w:t>
      </w:r>
      <m:oMath>
        <m:sSub>
          <m:e>
            <m:r>
              <m:t>d</m:t>
            </m:r>
          </m:e>
          <m:sub>
            <m:r>
              <m:rPr>
                <m:nor/>
                <m:sty m:val="p"/>
              </m:rPr>
              <m:t>model</m:t>
            </m:r>
          </m:sub>
        </m:sSub>
      </m:oMath>
      <w:r>
        <w:t xml:space="preserve"> </w:t>
      </w:r>
      <w:r>
        <w:t xml:space="preserve">= 384, 6 heads, 6+6 layers, feed-forward 1536, dropout 0.1) that generates codons autoregressively with output logits masked at every position to the synonymous-codon set required under translation table 2. The masking guarantees protein-exact, internal-stop-free output by construction. Training uses cross-entropy under teacher forcing with AdamW (lr = 3 × 10</w:t>
      </w:r>
      <w:r>
        <w:rPr>
          <w:vertAlign w:val="superscript"/>
        </w:rPr>
        <w:t xml:space="preserve">−4</w:t>
      </w:r>
      <w:r>
        <w:t xml:space="preserve">), bf16 precision and early stopping, on a single NVIDIA RTX 3050 (8 GB). Both the architecture and the constrained-decoding scheme are standard; the model is an instrument for studying the benchmark, not a contribution. It is our own prior model, described in a preprint [18]; the present manuscript evaluates it against a control that the preprint did not report, and finds that it loses.</w:t>
      </w:r>
    </w:p>
    <w:bookmarkEnd w:id="30"/>
    <w:bookmarkStart w:id="31" w:name="the-fine-tuned-codontransformer-baseline"/>
    <w:p>
      <w:pPr>
        <w:pStyle w:val="Heading3"/>
      </w:pPr>
      <w:r>
        <w:t xml:space="preserve">2.6. The fine-tuned CodonTransformer baseline</w:t>
      </w:r>
    </w:p>
    <w:p>
      <w:pPr>
        <w:pStyle w:val="FirstParagraph"/>
      </w:pPr>
      <w:r>
        <w:t xml:space="preserve">CodonTransformer [1] is the strongest published external model we could apply, so we report it fine-tuned on our corpus rather than zero-shot only. Doing so requires repairing a genetic-code mismatch first: its tokenizer vocabulary is built from standard-code amino-acid/codon pairings and contains no token for the four codons that translation table 2 reassigns, so naive fine-tuning cannot represent the correct mitochondrial choice at those positions. We therefore add the four tokens (</w:t>
      </w:r>
      <w:r>
        <w:rPr>
          <w:rStyle w:val="VerbatimChar"/>
        </w:rPr>
        <w:t xml:space="preserve">w_tga</w:t>
      </w:r>
      <w:r>
        <w:t xml:space="preserve">,</w:t>
      </w:r>
      <w:r>
        <w:t xml:space="preserve"> </w:t>
      </w:r>
      <w:r>
        <w:rPr>
          <w:rStyle w:val="VerbatimChar"/>
        </w:rPr>
        <w:t xml:space="preserve">m_ata</w:t>
      </w:r>
      <w:r>
        <w:t xml:space="preserve">,</w:t>
      </w:r>
      <w:r>
        <w:t xml:space="preserve"> </w:t>
      </w:r>
      <w:r>
        <w:rPr>
          <w:rStyle w:val="VerbatimChar"/>
        </w:rPr>
        <w:t xml:space="preserve">__aga</w:t>
      </w:r>
      <w:r>
        <w:t xml:space="preserve">,</w:t>
      </w:r>
      <w:r>
        <w:t xml:space="preserve"> </w:t>
      </w:r>
      <w:r>
        <w:rPr>
          <w:rStyle w:val="VerbatimChar"/>
        </w:rPr>
        <w:t xml:space="preserve">__agg</w:t>
      </w:r>
      <w:r>
        <w:t xml:space="preserve">), resize the embedding and language-model head, and fine-tune end-to-end with the model’s own masked-language-modelling objective — input is the protein with every codon masked, which is exactly the distribution its inference path queries — using AdamW (lr = 2 × 10</w:t>
      </w:r>
      <w:r>
        <w:rPr>
          <w:vertAlign w:val="superscript"/>
        </w:rPr>
        <w:t xml:space="preserve">−5</w:t>
      </w:r>
      <w:r>
        <w:t xml:space="preserve">), batch size 4 with gradient accumulation 4, three epochs, on training proteins of at most 500 residues. Two caveats are forced by the tool rather than chosen. Its organism conditioning has no mitochondrial or non-human vertebrate option, so we fix the organism token to</w:t>
      </w:r>
      <w:r>
        <w:t xml:space="preserve"> </w:t>
      </w:r>
      <w:r>
        <w:rPr>
          <w:iCs/>
          <w:i/>
        </w:rPr>
        <w:t xml:space="preserve">Homo sapiens</w:t>
      </w:r>
      <w:r>
        <w:t xml:space="preserve"> </w:t>
      </w:r>
      <w:r>
        <w:t xml:space="preserve">as the nearest available proxy; and its preprocessing utility assumes the standard stop set, which silently corrupts the 5.2% of our sequences ending in AGA or AGG, so we derive token boundaries from the known protein and DNA lengths instead. Both are consequences of a standard-code tool applied to a non-standard code, which is itself part of what this corpus tests.</w:t>
      </w:r>
    </w:p>
    <w:bookmarkEnd w:id="31"/>
    <w:bookmarkStart w:id="32" w:name="cross-corpus-replication"/>
    <w:p>
      <w:pPr>
        <w:pStyle w:val="Heading3"/>
      </w:pPr>
      <w:r>
        <w:t xml:space="preserve">2.7. Cross-corpus replication</w:t>
      </w:r>
    </w:p>
    <w:p>
      <w:pPr>
        <w:pStyle w:val="FirstParagraph"/>
      </w:pPr>
      <w:r>
        <w:t xml:space="preserve">To test whether homology leakage is specific to mitochondria we repeat the identity measurement on the public training corpus of CodonTransformer [1] (1 001 197 sequences, 164 organisms). That paper’s reported preprocessing is a length, start-codon and stop-codon filter; no clustering, redundancy removal or homology-aware split is described, so we hold out a random 10% per organism. For each held-out protein we find its nearest neighbour among that organism’s remaining sequences — the pool available to a retrieval baseline, since the model conditions on target organism — and compute identity over the longer sequence. Search is exhaustive within that pool; the only pruning is the exact bound identity ≤ min(ℓ</w:t>
      </w:r>
      <w:r>
        <w:rPr>
          <w:vertAlign w:val="subscript"/>
        </w:rPr>
        <w:t xml:space="preserve">1</w:t>
      </w:r>
      <w:r>
        <w:t xml:space="preserve">, ℓ</w:t>
      </w:r>
      <w:r>
        <w:rPr>
          <w:vertAlign w:val="subscript"/>
        </w:rPr>
        <w:t xml:space="preserve">2</w:t>
      </w:r>
      <w:r>
        <w:t xml:space="preserve">)/max(ℓ</w:t>
      </w:r>
      <w:r>
        <w:rPr>
          <w:vertAlign w:val="subscript"/>
        </w:rPr>
        <w:t xml:space="preserve">1</w:t>
      </w:r>
      <w:r>
        <w:t xml:space="preserve">, ℓ</w:t>
      </w:r>
      <w:r>
        <w:rPr>
          <w:vertAlign w:val="subscript"/>
        </w:rPr>
        <w:t xml:space="preserve">2</w:t>
      </w:r>
      <w:r>
        <w:t xml:space="preserve">), which can change runtime but not the result. We then run the ortholog-copy baseline of Section 2.3 against that neighbour, with the organism’s own most-frequent-codon table as the fallback and as the comparison heuristic. We analyse eight organisms spanning bacteria, fungi, plants, invertebrates and vertebrates, with 300 held-out queries each. This measures the corpus; we do not run the CodonTransformer model here and make no claim about its accuracy.</w:t>
      </w:r>
    </w:p>
    <w:bookmarkEnd w:id="32"/>
    <w:bookmarkStart w:id="33" w:name="strand-conditioning"/>
    <w:p>
      <w:pPr>
        <w:pStyle w:val="Heading3"/>
      </w:pPr>
      <w:r>
        <w:t xml:space="preserve">2.8. Strand conditioning</w:t>
      </w:r>
    </w:p>
    <w:p>
      <w:pPr>
        <w:pStyle w:val="FirstParagraph"/>
      </w:pPr>
      <w:r>
        <w:t xml:space="preserve">To test the mechanism proposed in Section 3.6 we add a sequence-level conditioning embedding, added to every encoder position in the manner of a BERT segment embedding, carrying one bit: whether the gene is transcribed from the heavy or the light strand. This adds 2 ×</w:t>
      </w:r>
      <w:r>
        <w:t xml:space="preserve"> </w:t>
      </w:r>
      <m:oMath>
        <m:sSub>
          <m:e>
            <m:r>
              <m:t>d</m:t>
            </m:r>
          </m:e>
          <m:sub>
            <m:r>
              <m:rPr>
                <m:nor/>
                <m:sty m:val="p"/>
              </m:rPr>
              <m:t>model</m:t>
            </m:r>
          </m:sub>
        </m:sSub>
      </m:oMath>
      <w:r>
        <w:t xml:space="preserve"> </w:t>
      </w:r>
      <w:r>
        <w:t xml:space="preserve">= 768 parameters. All other settings, including the random seed, are identical to the unconditioned run. We note as a limitation that the embedding was default-initialised</w:t>
      </w:r>
      <w:r>
        <w:t xml:space="preserve"> </w:t>
      </w:r>
      <m:oMath>
        <m:r>
          <m:rPr>
            <m:sty m:val="p"/>
            <m:scr m:val="script"/>
          </m:rPr>
          <m:t>N</m:t>
        </m:r>
        <m:d>
          <m:dPr>
            <m:begChr m:val="("/>
            <m:endChr m:val=")"/>
            <m:sepChr m:val=""/>
            <m:grow/>
          </m:dPr>
          <m:e>
            <m:r>
              <m:t>0</m:t>
            </m:r>
            <m:r>
              <m:rPr>
                <m:sty m:val="p"/>
              </m:rPr>
              <m:t>,</m:t>
            </m:r>
            <m:r>
              <m:t>1</m:t>
            </m:r>
          </m:e>
        </m:d>
      </m:oMath>
      <w:r>
        <w:t xml:space="preserve"> </w:t>
      </w:r>
      <w:r>
        <w:t xml:space="preserve">rather than zero-initialised, which perturbs early optimisation; the two runs’ validation losses nonetheless converge by epoch 6 (Section 3.7).</w:t>
      </w:r>
    </w:p>
    <w:bookmarkEnd w:id="33"/>
    <w:bookmarkStart w:id="34" w:name="metrics-and-statistics"/>
    <w:p>
      <w:pPr>
        <w:pStyle w:val="Heading3"/>
      </w:pPr>
      <w:r>
        <w:t xml:space="preserve">2.9. Metrics and statistics</w:t>
      </w:r>
    </w:p>
    <w:p>
      <w:pPr>
        <w:pStyle w:val="FirstParagraph"/>
      </w:pPr>
      <w:r>
        <w:t xml:space="preserve">We report BLEU-4 over codons against the natural sequence [21], mt-CAI (RSCU-weighted, after [22]), Shannon codon diversity, GC content and minimum free energy computed with ViennaRNA [23]. For GC and MFE we report the mean of per-sequence absolute deviations from the matched natural reference, not the difference of population means.</w:t>
      </w:r>
    </w:p>
    <w:p>
      <w:pPr>
        <w:pStyle w:val="BodyText"/>
      </w:pPr>
      <w:r>
        <w:t xml:space="preserve">All comparisons are paired and use</w:t>
      </w:r>
      <w:r>
        <w:t xml:space="preserve"> </w:t>
      </w:r>
      <w:r>
        <w:rPr>
          <w:bCs/>
          <w:b/>
        </w:rPr>
        <w:t xml:space="preserve">species-level (cluster) bootstrap</w:t>
      </w:r>
      <w:r>
        <w:t xml:space="preserve"> </w:t>
      </w:r>
      <w:r>
        <w:t xml:space="preserve">confidence intervals with 2,000 resamples. This matters: the 13 genes of one species are not independent observations, and a paired Wilcoxon test over</w:t>
      </w:r>
      <w:r>
        <w:t xml:space="preserve"> </w:t>
      </w:r>
      <w:r>
        <w:rPr>
          <w:iCs/>
          <w:i/>
        </w:rPr>
        <w:t xml:space="preserve">n</w:t>
      </w:r>
      <w:r>
        <w:t xml:space="preserve"> </w:t>
      </w:r>
      <w:r>
        <w:t xml:space="preserve">= 5,155 treats them as such, yielding</w:t>
      </w:r>
      <w:r>
        <w:t xml:space="preserve"> </w:t>
      </w:r>
      <w:r>
        <w:rPr>
          <w:iCs/>
          <w:i/>
        </w:rPr>
        <w:t xml:space="preserve">p</w:t>
      </w:r>
      <w:r>
        <w:t xml:space="preserve"> </w:t>
      </w:r>
      <w:r>
        <w:t xml:space="preserve">&lt; 10</w:t>
      </w:r>
      <w:r>
        <w:rPr>
          <w:vertAlign w:val="superscript"/>
        </w:rPr>
        <w:t xml:space="preserve">−300</w:t>
      </w:r>
      <w:r>
        <w:t xml:space="preserve"> </w:t>
      </w:r>
      <w:r>
        <w:t xml:space="preserve">by pseudo-replication. We report effect sizes and intervals rather than such</w:t>
      </w:r>
      <w:r>
        <w:t xml:space="preserve"> </w:t>
      </w:r>
      <w:r>
        <w:rPr>
          <w:iCs/>
          <w:i/>
        </w:rPr>
        <w:t xml:space="preserve">p</w:t>
      </w:r>
      <w:r>
        <w:t xml:space="preserve">-values.</w:t>
      </w:r>
    </w:p>
    <w:bookmarkEnd w:id="34"/>
    <w:bookmarkEnd w:id="35"/>
    <w:bookmarkStart w:id="45" w:name="results"/>
    <w:p>
      <w:pPr>
        <w:pStyle w:val="Heading2"/>
      </w:pPr>
      <w:r>
        <w:t xml:space="preserve">3. Results</w:t>
      </w:r>
    </w:p>
    <w:bookmarkStart w:id="36" w:name="Xd758ae496baf18a979ba6dbbf9cfabdb070417d"/>
    <w:p>
      <w:pPr>
        <w:pStyle w:val="Heading3"/>
      </w:pPr>
      <w:r>
        <w:t xml:space="preserve">3.1. Homology leakage in a correctly constructed split</w:t>
      </w:r>
    </w:p>
    <w:p>
      <w:pPr>
        <w:pStyle w:val="FirstParagraph"/>
      </w:pPr>
      <w:r>
        <w:t xml:space="preserve">Fig. 1 characterises the standard species-level split. Although species overlap between train and test is exactly zero, the median test protein is 96.7% identical to its nearest same-gene training protein. 83.8% are at least 90% identical, 95.3% at least 80%, and 98.2% at least 70%. Most strikingly,</w:t>
      </w:r>
      <w:r>
        <w:t xml:space="preserve"> </w:t>
      </w:r>
      <w:r>
        <w:rPr>
          <w:bCs/>
          <w:b/>
        </w:rPr>
        <w:t xml:space="preserve">341 test proteins (6.6%) have a byte-identical protein sequence in the training set</w:t>
      </w:r>
      <w:r>
        <w:t xml:space="preserve"> </w:t>
      </w:r>
      <w:r>
        <w:t xml:space="preserve">— the same protein from a different species. For these,</w:t>
      </w:r>
      <w:r>
        <w:t xml:space="preserve"> </w:t>
      </w:r>
      <w:r>
        <w:t xml:space="preserve">“</w:t>
      </w:r>
      <w:r>
        <w:t xml:space="preserve">generalization</w:t>
      </w:r>
      <w:r>
        <w:t xml:space="preserve">”</w:t>
      </w:r>
      <w:r>
        <w:t xml:space="preserve"> </w:t>
      </w:r>
      <w:r>
        <w:t xml:space="preserve">consists of recalling the codon usage of a protein the model has already seen.</w:t>
      </w:r>
    </w:p>
    <w:p>
      <w:pPr>
        <w:pStyle w:val="BodyText"/>
      </w:pPr>
      <w:r>
        <w:t xml:space="preserve">Per-gene median identity ranges from 0.994 (COX1) to 0.910 (ATP8) and tracks the independently computed conservation ranking of Section 3.4.</w:t>
      </w:r>
    </w:p>
    <w:bookmarkEnd w:id="36"/>
    <w:bookmarkStart w:id="37" w:name="X94181a6930d8d3cb75d1bf765620e70cb942b2a"/>
    <w:p>
      <w:pPr>
        <w:pStyle w:val="Heading3"/>
      </w:pPr>
      <w:r>
        <w:t xml:space="preserve">3.2. A training-free baseline beats a trained model</w:t>
      </w:r>
    </w:p>
    <w:p>
      <w:pPr>
        <w:pStyle w:val="FirstParagraph"/>
      </w:pPr>
      <w:r>
        <w:t xml:space="preserve">Table 2 gives performance on the full species-level test set. The ortholog-copy baseline attains BLEU-4</w:t>
      </w:r>
      <w:r>
        <w:t xml:space="preserve"> </w:t>
      </w:r>
      <w:r>
        <w:rPr>
          <w:bCs/>
          <w:b/>
        </w:rPr>
        <w:t xml:space="preserve">0.410</w:t>
      </w:r>
      <w:r>
        <w:t xml:space="preserve">, exceeding the trained transformer (0.313), a fine-tuned CodonTransformer (0.244) and all heuristic baselines. The paired difference between model and copy is −0.0972 with species-level bootstrap 95% CI [−0.1074, −0.0874]; the model wins on only 29% of individual test proteins.</w:t>
      </w:r>
    </w:p>
    <w:p>
      <w:pPr>
        <w:pStyle w:val="BodyText"/>
      </w:pPr>
      <w:r>
        <w:t xml:space="preserve">We note that two baselines conventionally reported as distinct — codon usage of highly expressed genes versus corpus-wide codon usage — are not meaningfully distinct on this corpus. Their lookup tables differ at exactly one amino acid (proline), which accounts for the entire 0.171 versus 0.167 gap, and on the identity-controlled split they are identical at every amino acid.</w:t>
      </w:r>
    </w:p>
    <w:bookmarkEnd w:id="37"/>
    <w:bookmarkStart w:id="38" w:name="identity-stratified-evaluation"/>
    <w:p>
      <w:pPr>
        <w:pStyle w:val="Heading3"/>
      </w:pPr>
      <w:r>
        <w:t xml:space="preserve">3.3. Identity-stratified evaluation</w:t>
      </w:r>
    </w:p>
    <w:p>
      <w:pPr>
        <w:pStyle w:val="FirstParagraph"/>
      </w:pPr>
      <w:r>
        <w:t xml:space="preserve">Pooled numbers conceal the structure. Fig. 2 stratifies by identity to the nearest training sequence. From 80% identity upward ortholog-copy wins by a margin that grows monotonically with identity, reaching 0.461 versus 0.331 at ≥95%. Below 80% that advantage disappears: in the 60–80% band the two are statistically tied, and in the &lt;60% band the trained model’s nominal lead (0.208 versus 0.181) is not significant at</w:t>
      </w:r>
      <w:r>
        <w:t xml:space="preserve"> </w:t>
      </w:r>
      <w:r>
        <w:rPr>
          <w:iCs/>
          <w:i/>
        </w:rPr>
        <w:t xml:space="preserve">n</w:t>
      </w:r>
      <w:r>
        <w:t xml:space="preserve"> </w:t>
      </w:r>
      <w:r>
        <w:t xml:space="preserve">= 18. We therefore do</w:t>
      </w:r>
      <w:r>
        <w:t xml:space="preserve"> </w:t>
      </w:r>
      <w:r>
        <w:rPr>
          <w:iCs/>
          <w:i/>
        </w:rPr>
        <w:t xml:space="preserve">not</w:t>
      </w:r>
      <w:r>
        <w:t xml:space="preserve"> </w:t>
      </w:r>
      <w:r>
        <w:t xml:space="preserve">claim a crossover to learned-model superiority; the defensible statement is the weaker and sufficient one that retrieval dominates above 80% identity and nothing is distinguishable below it. Since 96% of the test set sits above that threshold, the pooled number is a measurement of retrieval.</w:t>
      </w:r>
    </w:p>
    <w:p>
      <w:pPr>
        <w:pStyle w:val="BodyText"/>
      </w:pPr>
      <w:r>
        <w:t xml:space="preserve">The model is not simply weak — it beats the fine-tuned CodonTransformer in</w:t>
      </w:r>
      <w:r>
        <w:t xml:space="preserve"> </w:t>
      </w:r>
      <w:r>
        <w:rPr>
          <w:iCs/>
          <w:i/>
        </w:rPr>
        <w:t xml:space="preserve">every</w:t>
      </w:r>
      <w:r>
        <w:t xml:space="preserve"> </w:t>
      </w:r>
      <w:r>
        <w:t xml:space="preserve">stratum. Rather, the benchmark is uninformative in the regime where nearly all its mass lies: only 213 of 5,155 test proteins (4.1%) fall below 80% identity.</w:t>
      </w:r>
    </w:p>
    <w:p>
      <w:pPr>
        <w:pStyle w:val="BodyText"/>
      </w:pPr>
      <w:r>
        <w:t xml:space="preserve">Treating identity as continuous rather than binned sharpens the point and supplies its own control (Table 3). The ortholog-copy baseline’s score tracks identity almost one-for-one, as it must by construction. The</w:t>
      </w:r>
      <w:r>
        <w:t xml:space="preserve"> </w:t>
      </w:r>
      <w:r>
        <w:rPr>
          <w:iCs/>
          <w:i/>
        </w:rPr>
        <w:t xml:space="preserve">trained</w:t>
      </w:r>
      <w:r>
        <w:t xml:space="preserve"> </w:t>
      </w:r>
      <w:r>
        <w:t xml:space="preserve">model also shows substantial identity dependence (ρ = 0.264, slope 0.427): a meaningful part of what the benchmark credits to the model is attributable to how close the nearest training ortholog happened to be. The two baselines that cannot exploit homology — codon-usage lookup and random synonymous selection — show essentially none (ρ = 0.042 and 0.048). This is the decisive comparison: if the correlation reflected some confound such as intrinsically</w:t>
      </w:r>
      <w:r>
        <w:t xml:space="preserve"> </w:t>
      </w:r>
      <w:r>
        <w:t xml:space="preserve">“</w:t>
      </w:r>
      <w:r>
        <w:t xml:space="preserve">easier</w:t>
      </w:r>
      <w:r>
        <w:t xml:space="preserve">”</w:t>
      </w:r>
      <w:r>
        <w:t xml:space="preserve"> </w:t>
      </w:r>
      <w:r>
        <w:t xml:space="preserve">proteins, it would appear for those baselines too. It does not, so what the correlation tracks is specifically the exploitation of training homology.</w:t>
      </w:r>
    </w:p>
    <w:bookmarkEnd w:id="38"/>
    <w:bookmarkStart w:id="39" w:name="a-gene-dependent-conservation-ceiling"/>
    <w:p>
      <w:pPr>
        <w:pStyle w:val="Heading3"/>
      </w:pPr>
      <w:r>
        <w:t xml:space="preserve">3.4. A gene-dependent conservation ceiling</w:t>
      </w:r>
    </w:p>
    <w:p>
      <w:pPr>
        <w:pStyle w:val="FirstParagraph"/>
      </w:pPr>
      <w:r>
        <w:t xml:space="preserve">How hard can this benchmark be made? Fig. 3 shows that the answer varies by more than two orders of magnitude across genes. Clustering at 70% identity yields 593 clusters for ATP8 but only</w:t>
      </w:r>
      <w:r>
        <w:t xml:space="preserve"> </w:t>
      </w:r>
      <w:r>
        <w:rPr>
          <w:bCs/>
          <w:b/>
        </w:rPr>
        <w:t xml:space="preserve">two</w:t>
      </w:r>
      <w:r>
        <w:t xml:space="preserve"> </w:t>
      </w:r>
      <w:r>
        <w:t xml:space="preserve">clusters for COX1 across 3,429 sequences — which is precisely why COX1 serves as the standard DNA-barcoding locus.</w:t>
      </w:r>
    </w:p>
    <w:p>
      <w:pPr>
        <w:pStyle w:val="BodyText"/>
      </w:pPr>
      <w:r>
        <w:t xml:space="preserve">The consequence is severe. After exact enforcement of the 70% bound,</w:t>
      </w:r>
      <w:r>
        <w:t xml:space="preserve"> </w:t>
      </w:r>
      <w:r>
        <w:rPr>
          <w:bCs/>
          <w:b/>
        </w:rPr>
        <w:t xml:space="preserve">COX1, COX2, COX3 and CYTB retain zero test sequences</w:t>
      </w:r>
      <w:r>
        <w:t xml:space="preserve">. For these four genes an identity-controlled generalization test cannot be constructed from vertebrate data at all: every candidate held-out sequence has a training relative above the threshold. For such genes, retrieval is not merely a strong baseline but a near-unbeatable one, and reporting model performance on them without this context is misleading.</w:t>
      </w:r>
    </w:p>
    <w:bookmarkEnd w:id="39"/>
    <w:bookmarkStart w:id="40" w:name="an-identity-controlled-benchmark"/>
    <w:p>
      <w:pPr>
        <w:pStyle w:val="Heading3"/>
      </w:pPr>
      <w:r>
        <w:t xml:space="preserve">3.5. An identity-controlled benchmark</w:t>
      </w:r>
    </w:p>
    <w:p>
      <w:pPr>
        <w:pStyle w:val="FirstParagraph"/>
      </w:pPr>
      <w:r>
        <w:t xml:space="preserve">Applying Section 2.4 yields a test set of</w:t>
      </w:r>
      <w:r>
        <w:t xml:space="preserve"> </w:t>
      </w:r>
      <w:r>
        <w:rPr>
          <w:bCs/>
          <w:b/>
        </w:rPr>
        <w:t xml:space="preserve">1,325</w:t>
      </w:r>
      <w:r>
        <w:t xml:space="preserve"> </w:t>
      </w:r>
      <w:r>
        <w:t xml:space="preserve">sequences across 10 genes with maximum identity to training</w:t>
      </w:r>
      <w:r>
        <w:t xml:space="preserve"> </w:t>
      </w:r>
      <w:r>
        <w:rPr>
          <w:bCs/>
          <w:b/>
        </w:rPr>
        <w:t xml:space="preserve">0.699</w:t>
      </w:r>
      <w:r>
        <w:t xml:space="preserve"> </w:t>
      </w:r>
      <w:r>
        <w:t xml:space="preserve">and median 0.657. On it, ortholog-copy falls from 0.410 to</w:t>
      </w:r>
      <w:r>
        <w:t xml:space="preserve"> </w:t>
      </w:r>
      <w:r>
        <w:rPr>
          <w:bCs/>
          <w:b/>
        </w:rPr>
        <w:t xml:space="preserve">0.206</w:t>
      </w:r>
      <w:r>
        <w:t xml:space="preserve">, confirming that the easy split was indeed measuring retrieval.</w:t>
      </w:r>
    </w:p>
    <w:p>
      <w:pPr>
        <w:pStyle w:val="BodyText"/>
      </w:pPr>
      <w:r>
        <w:t xml:space="preserve">Retraining the model on this split, validation loss reaches its minimum at</w:t>
      </w:r>
      <w:r>
        <w:t xml:space="preserve"> </w:t>
      </w:r>
      <w:r>
        <w:rPr>
          <w:bCs/>
          <w:b/>
        </w:rPr>
        <w:t xml:space="preserve">epoch 3</w:t>
      </w:r>
      <w:r>
        <w:t xml:space="preserve"> </w:t>
      </w:r>
      <w:r>
        <w:t xml:space="preserve">and the entire subsequent range spans less than 1%, whereas on the species-level split the same architecture improved until epoch 20. Once close homologs are removed, there is markedly less learnable signal.</w:t>
      </w:r>
    </w:p>
    <w:p>
      <w:pPr>
        <w:pStyle w:val="BodyText"/>
      </w:pPr>
      <w:r>
        <w:t xml:space="preserve">BLEU-4 rewards matching the reference’s codons at the right positions, which is precisely the quantity a retrieval method optimises; a reasonable objection is that ortholog-copy’s advantage is an artefact of that isomorphism. It is not. mt-CAI and Shannon codon diversity are</w:t>
      </w:r>
      <w:r>
        <w:t xml:space="preserve"> </w:t>
      </w:r>
      <w:r>
        <w:rPr>
          <w:iCs/>
          <w:i/>
        </w:rPr>
        <w:t xml:space="preserve">compositional</w:t>
      </w:r>
      <w:r>
        <w:t xml:space="preserve"> </w:t>
      </w:r>
      <w:r>
        <w:t xml:space="preserve">statistics, invariant to codon order, so they give no credit for reproducing the reference’s arrangement. Ortholog-copy is nonetheless closest to the natural reference on both: mt-CAI 0.787 against a natural 0.734 (deviation 0.053), versus 0.964 for the trained model (deviation 0.230); codon diversity 4.84 against a natural 5.04 (deviation 0.21), versus 4.11 for the model (deviation 0.93). The same holds for folding energy, where ortholog-copy’s mean MFE deviation is 18.21 kcal/mol against the model’s 37.83 (Table 4). The trained models are markedly</w:t>
      </w:r>
      <w:r>
        <w:t xml:space="preserve"> </w:t>
      </w:r>
      <w:r>
        <w:rPr>
          <w:iCs/>
          <w:i/>
        </w:rPr>
        <w:t xml:space="preserve">over</w:t>
      </w:r>
      <w:r>
        <w:t xml:space="preserve">-optimised relative to real mitochondrial sequences — they concentrate on preferred codons (mt-CAI 0.964 and 0.923, against nature’s 0.734) and so generate less codon diversity than the genome actually contains. On every axis we measured, copying a homolog lands nearer the natural sequence than training does.</w:t>
      </w:r>
    </w:p>
    <w:bookmarkEnd w:id="40"/>
    <w:bookmarkStart w:id="41" w:name="one-gene-reverses-the-pooled-conclusion"/>
    <w:p>
      <w:pPr>
        <w:pStyle w:val="Heading3"/>
      </w:pPr>
      <w:r>
        <w:t xml:space="preserve">3.6. One gene reverses the pooled conclusion</w:t>
      </w:r>
    </w:p>
    <w:p>
      <w:pPr>
        <w:pStyle w:val="FirstParagraph"/>
      </w:pPr>
      <w:r>
        <w:t xml:space="preserve">Pooled, the trained model (0.195) trails ortholog-copy (0.206): paired difference −0.0106. Yet the model wins on 54% of individual proteins, so its losses must be larger than its wins. Disaggregating by gene (Fig. 4) shows why.</w:t>
      </w:r>
    </w:p>
    <w:p>
      <w:pPr>
        <w:pStyle w:val="BodyText"/>
      </w:pPr>
      <w:r>
        <w:t xml:space="preserve">The model beats ortholog-copy on 7 of 9 genes. It loses narrowly on ND5 (−0.0143), and decisively on only one: ND6, by −0.1850, winning on just 4.7% of its 214 test sequences.</w:t>
      </w:r>
      <w:r>
        <w:t xml:space="preserve"> </w:t>
      </w:r>
      <w:r>
        <w:rPr>
          <w:bCs/>
          <w:b/>
        </w:rPr>
        <w:t xml:space="preserve">Excluding ND6 alone the model beats ortholog-copy by +0.0231; including it the model loses.</w:t>
      </w:r>
      <w:r>
        <w:t xml:space="preserve"> </w:t>
      </w:r>
      <w:r>
        <w:t xml:space="preserve">A single gene, 16% of the test set, reverses the sign of the headline result.</w:t>
      </w:r>
    </w:p>
    <w:p>
      <w:pPr>
        <w:pStyle w:val="BodyText"/>
      </w:pPr>
      <w:r>
        <w:t xml:space="preserve">The cause is established biology. ND6 is the only one of the 13 mitochondrial protein-coding genes transcribed from the light strand, and the two strands have opposite nucleotide composition [15], [16], [17]. Measured on our training corpus, GC skew (G − C)/(G + C) is negative for all twelve heavy-strand genes, from −0.193 (COX1) to −0.498 (ATP8), but +0.442 for ND6 (Fig. 5a) — a complete sign inversion. Crucially, ND6’s GC</w:t>
      </w:r>
      <w:r>
        <w:t xml:space="preserve"> </w:t>
      </w:r>
      <w:r>
        <w:rPr>
          <w:iCs/>
          <w:i/>
        </w:rPr>
        <w:t xml:space="preserve">content</w:t>
      </w:r>
      <w:r>
        <w:t xml:space="preserve"> </w:t>
      </w:r>
      <w:r>
        <w:t xml:space="preserve">is unremarkable, so metrics based on GC content cannot detect this at all.</w:t>
      </w:r>
    </w:p>
    <w:p>
      <w:pPr>
        <w:pStyle w:val="BodyText"/>
      </w:pPr>
      <w:r>
        <w:t xml:space="preserve">The model’s generated sequences confirm the mechanism directly (Fig. 5b). For ND6, natural sequences have skew +0.423 and ortholog-copy reproduces it at +0.452, but the trained model generates −0.066 — essentially zero. On heavy-strand genes the model instead</w:t>
      </w:r>
      <w:r>
        <w:t xml:space="preserve"> </w:t>
      </w:r>
      <w:r>
        <w:rPr>
          <w:iCs/>
          <w:i/>
        </w:rPr>
        <w:t xml:space="preserve">over-applies</w:t>
      </w:r>
      <w:r>
        <w:t xml:space="preserve"> </w:t>
      </w:r>
      <w:r>
        <w:t xml:space="preserve">the negative prior: for ND4 it generates −0.593 against a natural −0.503. The model has learned a single pooled strand prior and applies it everywhere. Ortholog-copy is immune, since a real ND6 homolog carries the correct skew implicitly.</w:t>
      </w:r>
    </w:p>
    <w:bookmarkEnd w:id="41"/>
    <w:bookmarkStart w:id="42" w:name="Xa66c535199de86035a84b72c1709ec555caa3a7"/>
    <w:p>
      <w:pPr>
        <w:pStyle w:val="Heading3"/>
      </w:pPr>
      <w:r>
        <w:t xml:space="preserve">3.7. Supplying strand identity as one conditioning bit</w:t>
      </w:r>
    </w:p>
    <w:p>
      <w:pPr>
        <w:pStyle w:val="FirstParagraph"/>
      </w:pPr>
      <w:r>
        <w:t xml:space="preserve">We retrained with replication-strand identity supplied as a single conditioning bit (Section 2.8): 768 additional parameters, same data, same hyper-parameters, same seed, nothing else changed.</w:t>
      </w:r>
    </w:p>
    <w:p>
      <w:pPr>
        <w:pStyle w:val="BodyText"/>
      </w:pPr>
      <w:r>
        <w:t xml:space="preserve">The pooled comparison reverses. Against ortholog-copy the model moves from −0.0106 to +0.0103 (species-level bootstrap 95% CI [+0.0047, +0.0158], excluding zero), and its win rate rises from 54.2% to 62.3%. The number of genes on which the model beats ortholog-copy rises from 7 to 8 of 9; excluding ND6 it improves from +0.0231 to +0.0325.</w:t>
      </w:r>
    </w:p>
    <w:p>
      <w:pPr>
        <w:pStyle w:val="BodyText"/>
      </w:pPr>
      <w:r>
        <w:t xml:space="preserve">The mechanism is confirmed directly in the generated sequences. ND6’s GC skew moves from −0.066 — the wrong sign — to +0.149, against a natural value of +0.423. The over-shoot on heavy-strand genes also shrinks (for example ND4, −0.593 → −0.548 against natural −0.503): given the strand bit, the model no longer has to average one compositional prior across two opposite regimes.</w:t>
      </w:r>
    </w:p>
    <w:p>
      <w:pPr>
        <w:pStyle w:val="BodyText"/>
      </w:pPr>
      <w:r>
        <w:t xml:space="preserve">Two qualifications matter. First, the repair is</w:t>
      </w:r>
      <w:r>
        <w:t xml:space="preserve"> </w:t>
      </w:r>
      <w:r>
        <w:rPr>
          <w:iCs/>
          <w:i/>
        </w:rPr>
        <w:t xml:space="preserve">partial</w:t>
      </w:r>
      <w:r>
        <w:t xml:space="preserve">: ND6 remains the model’s worst gene at −0.1049 (from −0.1850), and its generated skew reaches only +0.149 against a natural +0.423. One bit tells the model that ND6 is different; it does not supply everything that follows from the difference. Second, this is a single run per condition without seed replication, so the effect size should be read as indicative. What the experiment does establish is the direction of causation: the deficit is attributable to withheld strand information rather than to model capacity, since restoring that information at a cost of 768 parameters reverses the pooled conclusion.</w:t>
      </w:r>
    </w:p>
    <w:bookmarkEnd w:id="42"/>
    <w:bookmarkStart w:id="43" w:name="Xeffacdd39ed4b3f1c19f43e5bc952964e0cd364"/>
    <w:p>
      <w:pPr>
        <w:pStyle w:val="Heading3"/>
      </w:pPr>
      <w:r>
        <w:t xml:space="preserve">3.8. The leakage is not specific to mitochondria</w:t>
      </w:r>
    </w:p>
    <w:p>
      <w:pPr>
        <w:pStyle w:val="FirstParagraph"/>
      </w:pPr>
      <w:r>
        <w:t xml:space="preserve">A natural objection is that vertebrate mitochondria — a closed 13-gene set with dense ortholog sampling — are an unusually favourable setting for a copy baseline, and that the result therefore says little about codon optimization generally. We tested this directly on the training corpus of the leading published multispecies codon optimizer, CodonTransformer [1], taken from its own public release (1 001 197 sequences, 164 organisms), as described in Section 2.7.</w:t>
      </w:r>
    </w:p>
    <w:p>
      <w:pPr>
        <w:pStyle w:val="BodyText"/>
      </w:pPr>
      <w:r>
        <w:t xml:space="preserve">The effect replicates, and in the organisms that matter most for codon optimization it is</w:t>
      </w:r>
      <w:r>
        <w:t xml:space="preserve"> </w:t>
      </w:r>
      <w:r>
        <w:rPr>
          <w:iCs/>
          <w:i/>
        </w:rPr>
        <w:t xml:space="preserve">more</w:t>
      </w:r>
      <w:r>
        <w:t xml:space="preserve"> </w:t>
      </w:r>
      <w:r>
        <w:t xml:space="preserve">severe than in mitochondria (Table 5). For</w:t>
      </w:r>
      <w:r>
        <w:t xml:space="preserve"> </w:t>
      </w:r>
      <w:r>
        <w:rPr>
          <w:iCs/>
          <w:i/>
        </w:rPr>
        <w:t xml:space="preserve">Homo sapiens</w:t>
      </w:r>
      <w:r>
        <w:t xml:space="preserve"> </w:t>
      </w:r>
      <w:r>
        <w:t xml:space="preserve">the median held-out protein is 98.1% identical to a training protein, 10.7% are exact matches, and ortholog-copy reaches BLEU-4 0.924 — beating the organism’s most-frequent-codon table (0.150) on 99% of sequences. For</w:t>
      </w:r>
      <w:r>
        <w:t xml:space="preserve"> </w:t>
      </w:r>
      <w:r>
        <w:rPr>
          <w:iCs/>
          <w:i/>
        </w:rPr>
        <w:t xml:space="preserve">E. coli</w:t>
      </w:r>
      <w:r>
        <w:t xml:space="preserve"> </w:t>
      </w:r>
      <w:r>
        <w:t xml:space="preserve">the median is 99.7% and 38.7% of held-out sequences have a byte-identical protein in training.</w:t>
      </w:r>
    </w:p>
    <w:p>
      <w:pPr>
        <w:pStyle w:val="BodyText"/>
      </w:pPr>
      <w:r>
        <w:t xml:space="preserve">Two features of the table make it more informative than a single number. First, leakage varies by more than threefold across organisms and tracks genome redundancy rather than taxonomy: the compact genomes of</w:t>
      </w:r>
      <w:r>
        <w:t xml:space="preserve"> </w:t>
      </w:r>
      <w:r>
        <w:rPr>
          <w:iCs/>
          <w:i/>
        </w:rPr>
        <w:t xml:space="preserve">B. subtilis</w:t>
      </w:r>
      <w:r>
        <w:t xml:space="preserve"> </w:t>
      </w:r>
      <w:r>
        <w:t xml:space="preserve">and</w:t>
      </w:r>
      <w:r>
        <w:t xml:space="preserve"> </w:t>
      </w:r>
      <w:r>
        <w:rPr>
          <w:iCs/>
          <w:i/>
        </w:rPr>
        <w:t xml:space="preserve">S. cerevisiae</w:t>
      </w:r>
      <w:r>
        <w:t xml:space="preserve">, which have few paralogs, give median identities of 0.279 and 0.265, and there ortholog-copy is barely better than a codon-usage table (0.160 versus 0.155, and 0.205 versus 0.168). The measurement is therefore detecting redundancy, not producing a uniform artefact. Second, and contrary to the objection, the mitochondrial corpus is the</w:t>
      </w:r>
      <w:r>
        <w:t xml:space="preserve"> </w:t>
      </w:r>
      <w:r>
        <w:rPr>
          <w:iCs/>
          <w:i/>
        </w:rPr>
        <w:t xml:space="preserve">conservative</w:t>
      </w:r>
      <w:r>
        <w:t xml:space="preserve"> </w:t>
      </w:r>
      <w:r>
        <w:t xml:space="preserve">case rather than the extreme one. Its median identity (0.967) is comparable to that of human, yet ortholog-copy attains only BLEU 0.410 there against 0.924 for human, because mitochondrial synonymous sites are close to saturation: protein sequence is conserved while the codons beneath it are not (Fig. 6). Measured on nuclear genomes, the baseline we report is substantially stronger than the one we were able to construct in mitochondria.</w:t>
      </w:r>
    </w:p>
    <w:bookmarkEnd w:id="43"/>
    <w:bookmarkStart w:id="44" w:name="the-cross-gene-species-channel"/>
    <w:p>
      <w:pPr>
        <w:pStyle w:val="Heading3"/>
      </w:pPr>
      <w:r>
        <w:t xml:space="preserve">3.9. The cross-gene species channel</w:t>
      </w:r>
    </w:p>
    <w:p>
      <w:pPr>
        <w:pStyle w:val="FirstParagraph"/>
      </w:pPr>
      <w:r>
        <w:t xml:space="preserve">Because the identity bound is enforced per gene, a species may be in training for one gene and in test for another. Genes within a species share strand regime, mutational bias and codon pool, so this is a real leakage channel that the per-gene bound does not close. We measured it. It is close to total: 971 of 980 test species (99.1%) appear in training under some other gene, leaving only 9 test sequences (0.7%) whose species is absent from training entirely. The obvious check — re-scoring on that clean subset — is therefore not estimable here, and we decline to report a 9-point comparison as though it were.</w:t>
      </w:r>
    </w:p>
    <w:p>
      <w:pPr>
        <w:pStyle w:val="BodyText"/>
      </w:pPr>
      <w:r>
        <w:t xml:space="preserve">A construction that</w:t>
      </w:r>
      <w:r>
        <w:t xml:space="preserve"> </w:t>
      </w:r>
      <w:r>
        <w:rPr>
          <w:iCs/>
          <w:i/>
        </w:rPr>
        <w:t xml:space="preserve">is</w:t>
      </w:r>
      <w:r>
        <w:t xml:space="preserve"> </w:t>
      </w:r>
      <w:r>
        <w:t xml:space="preserve">available closes the channel completely at the cost of sample size. The original species-level split is species-disjoint by construction — no test species appears anywhere in training, for any gene. Intersecting it with an identity bound gives a test set that is simultaneously species-disjoint and identity-bounded. At a 0.90 bound (</w:t>
      </w:r>
      <w:r>
        <w:rPr>
          <w:iCs/>
          <w:i/>
        </w:rPr>
        <w:t xml:space="preserve">n</w:t>
      </w:r>
      <w:r>
        <w:t xml:space="preserve"> </w:t>
      </w:r>
      <w:r>
        <w:t xml:space="preserve">= 841, 193 species) ortholog-copy still wins, by −0.0174 (95% CI [−0.0290, −0.0069]). At 0.80 (</w:t>
      </w:r>
      <w:r>
        <w:rPr>
          <w:iCs/>
          <w:i/>
        </w:rPr>
        <w:t xml:space="preserve">n</w:t>
      </w:r>
      <w:r>
        <w:t xml:space="preserve"> </w:t>
      </w:r>
      <w:r>
        <w:t xml:space="preserve">= 246) and 0.70 (</w:t>
      </w:r>
      <w:r>
        <w:rPr>
          <w:iCs/>
          <w:i/>
        </w:rPr>
        <w:t xml:space="preserve">n</w:t>
      </w:r>
      <w:r>
        <w:t xml:space="preserve"> </w:t>
      </w:r>
      <w:r>
        <w:t xml:space="preserve">= 92) the difference is no longer distinguishable from zero (+0.0054, CI [−0.0107, +0.0199] and +0.0153, CI [−0.0077, +0.0371]).</w:t>
      </w:r>
    </w:p>
    <w:p>
      <w:pPr>
        <w:pStyle w:val="BodyText"/>
      </w:pPr>
      <w:r>
        <w:t xml:space="preserve">This is the same pattern as Section 3.3, reproduced under complete species disjointness: retrieval dominates where homology is available and nothing separates where it is not. The cross-gene channel is therefore not what produces the headline result. We nonetheless report the channel’s size, because an identity-controlled split for a multi-gene organelle cannot close it and remain usable — union–find over (species, cluster) pairs collapses to a single component through COX1, as Section 3.4 shows.</w:t>
      </w:r>
    </w:p>
    <w:bookmarkEnd w:id="44"/>
    <w:bookmarkEnd w:id="45"/>
    <w:bookmarkStart w:id="46" w:name="discussion"/>
    <w:p>
      <w:pPr>
        <w:pStyle w:val="Heading2"/>
      </w:pPr>
      <w:r>
        <w:t xml:space="preserve">4. Discussion</w:t>
      </w:r>
    </w:p>
    <w:p>
      <w:pPr>
        <w:pStyle w:val="FirstParagraph"/>
      </w:pPr>
      <w:r>
        <w:t xml:space="preserve">Our central claim is not that a particular model is weak. It is that the field’s standard evaluation</w:t>
      </w:r>
      <w:r>
        <w:t xml:space="preserve"> </w:t>
      </w:r>
      <w:r>
        <w:rPr>
          <w:bCs/>
          <w:b/>
        </w:rPr>
        <w:t xml:space="preserve">cannot distinguish models</w:t>
      </w:r>
      <w:r>
        <w:t xml:space="preserve"> </w:t>
      </w:r>
      <w:r>
        <w:t xml:space="preserve">in the regime containing almost all of its probability mass, and that the control which would reveal this — copying the nearest ortholog — is absent from the literature, including from work that conditions on orthologs explicitly.</w:t>
      </w:r>
    </w:p>
    <w:p>
      <w:pPr>
        <w:pStyle w:val="BodyText"/>
      </w:pPr>
      <w:r>
        <w:t xml:space="preserve">Two concrete recommendations follow, both essentially free. First, report an ortholog-copy baseline. Second, stratify results by identity to the nearest training sequence, and state the stratum sizes. Where a gene cannot support an identity-controlled test at all, say so.</w:t>
      </w:r>
    </w:p>
    <w:p>
      <w:pPr>
        <w:pStyle w:val="BodyText"/>
      </w:pPr>
      <w:r>
        <w:t xml:space="preserve">Section 3.8 indicates these recommendations are not parochial. On the released corpus of the leading multispecies optimizer, a random holdout leaves the median human held-out protein 98.1% identical to a training protein, and copying that neighbour’s codons attains BLEU-4 0.924. The quantity at stake is corpus redundancy rather than clade: the two compact genomes we examined,</w:t>
      </w:r>
      <w:r>
        <w:t xml:space="preserve"> </w:t>
      </w:r>
      <w:r>
        <w:rPr>
          <w:iCs/>
          <w:i/>
        </w:rPr>
        <w:t xml:space="preserve">B. subtilis</w:t>
      </w:r>
      <w:r>
        <w:t xml:space="preserve"> </w:t>
      </w:r>
      <w:r>
        <w:t xml:space="preserve">and</w:t>
      </w:r>
      <w:r>
        <w:t xml:space="preserve"> </w:t>
      </w:r>
      <w:r>
        <w:rPr>
          <w:iCs/>
          <w:i/>
        </w:rPr>
        <w:t xml:space="preserve">S. cerevisiae</w:t>
      </w:r>
      <w:r>
        <w:t xml:space="preserve">, show median identities near 0.27 and there copying is barely better than a codon-usage table. A benchmark’s informativeness is therefore a property that must be measured per corpus, not assumed.</w:t>
      </w:r>
    </w:p>
    <w:p>
      <w:pPr>
        <w:pStyle w:val="BodyText"/>
      </w:pPr>
      <w:r>
        <w:t xml:space="preserve">One prior result deserves direct comment. Sidi et al. [10] report that using information encoded in homologous proteins has only a minor effect on prediction accuracy, which may appear to contradict the present findings. The two results are compatible, and the reconciliation is visible in our own data. Their claim concerns the marginal gain from supplying ortholog information to a model that has already been trained on a redundant corpus; ours concerns what ortholog information is worth on its own, and what a benchmark dominated by high-identity pairs is therefore measuring. A model whose training set already contains close homologs of almost every test protein - in our standard split, 96% of test proteins exceed 80% identity to training - has little left to gain from being handed one explicitly, precisely because it has already absorbed the same information implicitly. That is not evidence that homology is unimportant to the benchmark; it is evidence that the benchmark is already saturated with it. Our Table 3 makes the same point quantitatively: the trained model’s score is itself identity-dependent (rho = 0.264), while baselines that cannot exploit homology show none.</w:t>
      </w:r>
    </w:p>
    <w:p>
      <w:pPr>
        <w:pStyle w:val="BodyText"/>
      </w:pPr>
      <w:r>
        <w:t xml:space="preserve">The ND6 result carries a broader lesson about aggregation. A single gene, 16% of the hard test set, inverts the sign of the headline comparison. Its cause is neither subtle nor novel biology — mitochondrial strand asymmetry has been documented for three decades [15], [16], [17] — but it is invisible to the compositional metrics the field reports, because ND6’s GC</w:t>
      </w:r>
      <w:r>
        <w:t xml:space="preserve"> </w:t>
      </w:r>
      <w:r>
        <w:rPr>
          <w:iCs/>
          <w:i/>
        </w:rPr>
        <w:t xml:space="preserve">content</w:t>
      </w:r>
      <w:r>
        <w:t xml:space="preserve"> </w:t>
      </w:r>
      <w:r>
        <w:t xml:space="preserve">is unremarkable and only its</w:t>
      </w:r>
      <w:r>
        <w:t xml:space="preserve"> </w:t>
      </w:r>
      <w:r>
        <w:rPr>
          <w:iCs/>
          <w:i/>
        </w:rPr>
        <w:t xml:space="preserve">skew</w:t>
      </w:r>
      <w:r>
        <w:t xml:space="preserve"> </w:t>
      </w:r>
      <w:r>
        <w:t xml:space="preserve">is inverted. Metrics chosen without reference to the underlying biology can be systematically blind to a model’s largest error.</w:t>
      </w:r>
    </w:p>
    <w:p>
      <w:pPr>
        <w:pStyle w:val="BodyText"/>
      </w:pPr>
      <w:r>
        <w:rPr>
          <w:bCs/>
          <w:b/>
        </w:rPr>
        <w:t xml:space="preserve">Limitations.</w:t>
      </w:r>
      <w:r>
        <w:t xml:space="preserve"> </w:t>
      </w:r>
      <w:r>
        <w:t xml:space="preserve">Our evidence is computational; no wet-lab validation was performed. Our modelling results — the identity-controlled benchmark, the conservation ceiling and the ND6 finding — come from vertebrate mitochondrial genomes and a single 25.2M-parameter transformer; whether the</w:t>
      </w:r>
      <w:r>
        <w:t xml:space="preserve"> </w:t>
      </w:r>
      <w:r>
        <w:rPr>
          <w:iCs/>
          <w:i/>
        </w:rPr>
        <w:t xml:space="preserve">modelling</w:t>
      </w:r>
      <w:r>
        <w:t xml:space="preserve"> </w:t>
      </w:r>
      <w:r>
        <w:t xml:space="preserve">conclusions transfer is untested, even though Section 3.8 shows the leakage measurement itself does. The cross-corpus replication characterises a corpus under a random holdout, not any particular published model’s protocol, since the paper releasing that corpus does not describe its split. BLEU-against-natural is itself an imperfect objective, since the natural sequence is not an optimal one; our findings concern what the metric measures, not its desirability. The identity-controlled split excludes four genes by construction, and permits a species to appear in training for one gene and test for another — a channel we quantify rather than dismiss in Section 3.9. Finally, the strand-conditioning experiment is a single run per condition without seed replication, and used a non-zero-initialised conditioning embedding; it should be read as a mechanistic test, not a tuned result.</w:t>
      </w:r>
    </w:p>
    <w:bookmarkEnd w:id="46"/>
    <w:bookmarkStart w:id="47" w:name="conclusions"/>
    <w:p>
      <w:pPr>
        <w:pStyle w:val="Heading2"/>
      </w:pPr>
      <w:r>
        <w:t xml:space="preserve">5. Conclusions</w:t>
      </w:r>
    </w:p>
    <w:p>
      <w:pPr>
        <w:pStyle w:val="FirstParagraph"/>
      </w:pPr>
      <w:r>
        <w:t xml:space="preserve">A baseline requiring no training — copy the codons of the nearest training ortholog — outperforms trained codon optimizers on a conventionally constructed benchmark, because species-level splits leave held-out proteins a median 96.7% identical to training and 6.6% exactly identical. The same measurement on the released corpus of a leading multispecies optimizer is worse still: median identity 0.981 for human, where copying attains BLEU-4 0.924. Disaggregating by identity shows retrieval’s advantage is confined to the &gt;80% identity regime, while below it — 4% of the test set — no method is distinguishable; disaggregating by gene shows attainable difficulty varies by two orders of magnitude, with four of thirteen genes unable to support an identity-controlled test at all. On a released identity-controlled benchmark, a single light-strand gene with inverted GC skew reverses the pooled conclusion, and supplying strand identity as one conditioning bit — 768 parameters — reverses it back, partially repairing the gene and improving every other. We recommend both controls — an ortholog-copy baseline and identity stratification — become standard in this literature.</w:t>
      </w:r>
    </w:p>
    <w:bookmarkEnd w:id="47"/>
    <w:bookmarkStart w:id="48" w:name="credit-authorship-contribution-statement"/>
    <w:p>
      <w:pPr>
        <w:pStyle w:val="Heading2"/>
      </w:pPr>
      <w:r>
        <w:t xml:space="preserve">CRediT authorship contribution statement</w:t>
      </w:r>
    </w:p>
    <w:p>
      <w:pPr>
        <w:pStyle w:val="FirstParagraph"/>
      </w:pPr>
      <w:r>
        <w:rPr>
          <w:bCs/>
          <w:b/>
        </w:rPr>
        <w:t xml:space="preserve">Bonthada Sravan Kumar:</w:t>
      </w:r>
      <w:r>
        <w:t xml:space="preserve"> </w:t>
      </w:r>
      <w:r>
        <w:t xml:space="preserve">Conceptualization, Methodology, Software, Validation, Formal analysis, Investigation, Data curation, Writing – original draft, Writing – review &amp; editing, Visualization, Project administration.</w:t>
      </w:r>
    </w:p>
    <w:bookmarkEnd w:id="48"/>
    <w:bookmarkStart w:id="49" w:name="declaration-of-competing-interest"/>
    <w:p>
      <w:pPr>
        <w:pStyle w:val="Heading2"/>
      </w:pPr>
      <w: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p>
    <w:bookmarkEnd w:id="49"/>
    <w:bookmarkStart w:id="50"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(Anthropic) to assist with drafting portions of the manuscript text and with writing the accompanying software pipeline. After using this tool, the author reviewed and edited the content as needed and takes full responsibility for the content of the published article. All reported results were independently verified by the author against the underlying code and data prior to submission.</w:t>
      </w:r>
    </w:p>
    <w:bookmarkEnd w:id="51"/>
    <w:bookmarkStart w:id="52" w:name="data-availability"/>
    <w:p>
      <w:pPr>
        <w:pStyle w:val="Heading2"/>
      </w:pPr>
      <w:r>
        <w:t xml:space="preserve">Data availability</w:t>
      </w:r>
    </w:p>
    <w:p>
      <w:pPr>
        <w:pStyle w:val="FirstParagraph"/>
      </w:pPr>
      <w:r>
        <w:t xml:space="preserve">All code, the curated dataset, trained model weights, the identity-controlled split files, retrieval indices and every evaluation artefact underlying the tables and figures are publicly available under the MIT license at https://github.com/Maheshbonthada/MItoDNA, https://huggingface.co/datasets/Sravankumarbonthada/mitoseqgen-dataset and https://huggingface.co/Sravankumarbonthada/mitoseqgen. Every figure regenerates from released JSON artefacts via the included scripts.</w:t>
      </w:r>
    </w:p>
    <w:bookmarkEnd w:id="52"/>
    <w:bookmarkStart w:id="53" w:name="references"/>
    <w:p>
      <w:pPr>
        <w:pStyle w:val="Heading2"/>
      </w:pPr>
      <w:r>
        <w:t xml:space="preserve">References</w:t>
      </w:r>
    </w:p>
    <w:p>
      <w:pPr>
        <w:pStyle w:val="FirstParagraph"/>
      </w:pPr>
      <w:r>
        <w:t xml:space="preserve">[1] A. Fallahpour, V. Gureghian, G. J. Filion, A. B. Lindner, A. Pandi, CodonTransformer: a multispecies codon optimizer using context-aware neural networks, Nature Communications 16 (2025) 3205.</w:t>
      </w:r>
    </w:p>
    <w:p>
      <w:pPr>
        <w:pStyle w:val="BodyText"/>
      </w:pPr>
      <w:r>
        <w:t xml:space="preserve">[2] R. Jain, A. Jain, E. Mauro, K. LeShane, D. Densmore, ICOR: improving codon optimization with recurrent neural networks, BMC Bioinformatics 24 (2023).</w:t>
      </w:r>
    </w:p>
    <w:p>
      <w:pPr>
        <w:pStyle w:val="BodyText"/>
      </w:pPr>
      <w:r>
        <w:t xml:space="preserve">[3] X. Han, X. Shao, S. Liu, Z. Shi, R. Huang, H. Chu, H. Zhang, R. Wang, H. Li, X. Liao, J. Cheng, H. Jiang, DeepCodon: a deep learning codon-optimization model to enhance protein expression, BioDesign Research 7 (2025) 100042.</w:t>
      </w:r>
    </w:p>
    <w:p>
      <w:pPr>
        <w:pStyle w:val="BodyText"/>
      </w:pPr>
      <w:r>
        <w:t xml:space="preserve">[4] S. Du, G. Kaynar, J. Li, Z. You, S. Tang, C. Kingsford, CodonRL: multi-objective codon sequence optimization using demonstration-guided reinforcement learning, bioRxiv (2026).</w:t>
      </w:r>
    </w:p>
    <w:p>
      <w:pPr>
        <w:pStyle w:val="BodyText"/>
      </w:pPr>
      <w:r>
        <w:t xml:space="preserve">[5] Y. Li, F. Wang, J. Yang, et al., Deep generative optimization of mRNA codon sequences for enhanced mRNA translation and therapeutic efficacy, Nature Communications 16 (2025) 9957.</w:t>
      </w:r>
    </w:p>
    <w:p>
      <w:pPr>
        <w:pStyle w:val="BodyText"/>
      </w:pPr>
      <w:r>
        <w:t xml:space="preserve">[6] J. Heuschkel, L. Kingsley, N. Pefaur, A. Nixon, S. Cramer, Advancing codon language modeling with synonymous codon constrained masking, Nucleic Acids Research 54 (5) (2026).</w:t>
      </w:r>
    </w:p>
    <w:p>
      <w:pPr>
        <w:pStyle w:val="BodyText"/>
      </w:pPr>
      <w:r>
        <w:t xml:space="preserve">[7] M. Lang, X. Fang, Z. Wang, M. Chen, Z. Cheng, X. Zhu, K. Y. Tam, J. Zhang, X. Li, CodonMamba: a foundation model for programmable mRNA coding sequence design, bioRxiv (2026).</w:t>
      </w:r>
    </w:p>
    <w:p>
      <w:pPr>
        <w:pStyle w:val="BodyText"/>
      </w:pPr>
      <w:r>
        <w:t xml:space="preserve">[8] G. Brixi, et al., Genome modelling and design across all domains of life with Evo 2, Nature (2026).</w:t>
      </w:r>
    </w:p>
    <w:p>
      <w:pPr>
        <w:pStyle w:val="BodyText"/>
      </w:pPr>
      <w:r>
        <w:t xml:space="preserve">[9] S. Darabi, F. Cao, M. Naghipourfar, et al., Learning the language of codon translation with CodonFM, preprint (2026).</w:t>
      </w:r>
    </w:p>
    <w:p>
      <w:pPr>
        <w:pStyle w:val="BodyText"/>
      </w:pPr>
      <w:r>
        <w:t xml:space="preserve">[10] T. Sidi, S. Bahiri-Elitzur, T. Tuller, R. Kolodny, Predicting gene sequences with AI to study codon usage patterns, Proceedings of the National Academy of Sciences 122 (2) (2025).</w:t>
      </w:r>
    </w:p>
    <w:p>
      <w:pPr>
        <w:pStyle w:val="BodyText"/>
      </w:pPr>
      <w:r>
        <w:t xml:space="preserve">[11] M. Akiyama, M. Tashiro, Y. Huang, M. Uehara, T. Kanzaki, M. Itaya, M. Kataoka, K. Miyamoto, Y. Sakakibara, Cross-species gene redesign leveraging ortholog information and generative modeling, Nature Communications 17 (2026) 2120.</w:t>
      </w:r>
    </w:p>
    <w:p>
      <w:pPr>
        <w:pStyle w:val="BodyText"/>
      </w:pPr>
      <w:r>
        <w:t xml:space="preserve">[12] C. Ma, H. Zhao, L. Zheng, J. Xin, Q. Li, L. Wu, Z. Deng, Y. Lu, Q. Liu, L. Kong, Retrieved sequence augmentation for protein representation learning, in: Proc. EMNLP, 2024, pp. 1738–1767.</w:t>
      </w:r>
    </w:p>
    <w:p>
      <w:pPr>
        <w:pStyle w:val="BodyText"/>
      </w:pPr>
      <w:r>
        <w:t xml:space="preserve">[13] U. Khandelwal, A. Fan, D. Jurafsky, L. Zettlemoyer, M. Lewis, Nearest neighbor machine translation, in: ICLR, 2021.</w:t>
      </w:r>
    </w:p>
    <w:p>
      <w:pPr>
        <w:pStyle w:val="BodyText"/>
      </w:pPr>
      <w:r>
        <w:t xml:space="preserve">[14] U. Khandelwal, O. Levy, D. Jurafsky, L. Zettlemoyer, M. Lewis, Generalization through memorization: nearest neighbor language models, in: ICLR, 2020.</w:t>
      </w:r>
    </w:p>
    <w:p>
      <w:pPr>
        <w:pStyle w:val="BodyText"/>
      </w:pPr>
      <w:r>
        <w:t xml:space="preserve">[15] S. Asakawa, Y. Kumazawa, T. Araki, H. Himeno, K. Miura, K. Watanabe, Strand-specific nucleotide composition bias in echinoderm and vertebrate mitochondrial genomes, Journal of Molecular Evolution 32 (1991).</w:t>
      </w:r>
    </w:p>
    <w:p>
      <w:pPr>
        <w:pStyle w:val="BodyText"/>
      </w:pPr>
      <w:r>
        <w:t xml:space="preserve">[16] J. J. Faith, D. D. Pollock, Likelihood analysis of asymmetrical mutation bias gradients in vertebrate mitochondrial genomes, Genetics 165 (2003).</w:t>
      </w:r>
    </w:p>
    <w:p>
      <w:pPr>
        <w:pStyle w:val="BodyText"/>
      </w:pPr>
      <w:r>
        <w:t xml:space="preserve">[17] L. Wei, et al., DNA asymmetric strand bias affects the amino acid composition of mitochondrial proteins, DNA Research 14 (5) (2007).</w:t>
      </w:r>
    </w:p>
    <w:p>
      <w:pPr>
        <w:pStyle w:val="BodyText"/>
      </w:pPr>
      <w:r>
        <w:t xml:space="preserve">[18] B. S. Kumar, MitoSeqGen: a constrained generative transformer for mammalian mitochondrial mRNA codon optimization, Research Square (2026).</w:t>
      </w:r>
    </w:p>
    <w:p>
      <w:pPr>
        <w:pStyle w:val="BodyText"/>
      </w:pPr>
      <w:r>
        <w:t xml:space="preserve">[19] W. Li, A. Godzik, Cd-hit: a fast program for clustering and comparing large sets of protein or nucleotide sequences, Bioinformatics 22 (13) (2006).</w:t>
      </w:r>
    </w:p>
    <w:p>
      <w:pPr>
        <w:pStyle w:val="BodyText"/>
      </w:pPr>
      <w:r>
        <w:t xml:space="preserve">[20] M. Šošić, M. Šikić, Edlib: a C/C++ library for fast, exact sequence alignment using edit distance, Bioinformatics 33 (9) (2017).</w:t>
      </w:r>
    </w:p>
    <w:p>
      <w:pPr>
        <w:pStyle w:val="BodyText"/>
      </w:pPr>
      <w:r>
        <w:t xml:space="preserve">[21] K. Papineni, S. Roukos, T. Ward, W.-J. Zhu, BLEU: a method for automatic evaluation of machine translation, in: Proc. ACL, 2002, pp. 311–318.</w:t>
      </w:r>
    </w:p>
    <w:p>
      <w:pPr>
        <w:pStyle w:val="BodyText"/>
      </w:pPr>
      <w:r>
        <w:t xml:space="preserve">[22] P. M. Sharp, W.-H. Li, The codon adaptation index — a measure of directional synonymous codon usage bias, and its potential applications, Nucleic Acids Research 15 (1987).</w:t>
      </w:r>
    </w:p>
    <w:p>
      <w:pPr>
        <w:pStyle w:val="BodyText"/>
      </w:pPr>
      <w:r>
        <w:t xml:space="preserve">[23] R. Lorenz, et al., ViennaRNA package 2.0, Algorithms for Molecular Biology 6 (2011) 26.</w:t>
      </w:r>
    </w:p>
    <w:p>
      <w:pPr>
        <w:pStyle w:val="BodyText"/>
      </w:pPr>
      <w:r>
        <w:t xml:space="preserve">[24] A. M. Rafi, B. Kiyota, N. Yachie, C. G. de Boer, Characterizing homology-induced data leakage and memorization in genome-trained sequence models, bioRxiv preprint, 2026. https://doi.org/10.1101/2025.01.22.634321</w:t>
      </w:r>
    </w:p>
    <w:p>
      <w:pPr>
        <w:pStyle w:val="BodyText"/>
      </w:pPr>
      <w:r>
        <w:t xml:space="preserve">[25] R. Joeres, D. B. Blumenthal, O. V. Kalinina, Data splitting to avoid information leakage with DataSAIL, Nature Communications 16 (2025) 3337. https://doi.org/10.1038/s41467-025-58606-8</w:t>
      </w:r>
    </w:p>
    <w:p>
      <w:pPr>
        <w:pStyle w:val="BodyText"/>
      </w:pPr>
      <w:r>
        <w:t xml:space="preserve">[26] G. Briere, T. Stosskopf, B. Loire, A. Baudot, Benchmarking the impact of data leakage on the performance of knowledge graph embedding models for biomedical link prediction, Bioinformatics 42 (8) (2026) btag608. https://doi.org/10.1093/bioinformatics/btag608</w:t>
      </w:r>
    </w:p>
    <w:p>
      <w:pPr>
        <w:pStyle w:val="BodyText"/>
      </w:pPr>
      <w:r>
        <w:t xml:space="preserve">[dataset] [27] B. S. Kumar, MitoSeqGen curated vertebrate mitochondrial coding-sequence dataset and identity-controlled benchmark, Hugging Face, 2026. https://huggingface.co/datasets/Sravankumarbonthada/mitoseqgen-dataset</w:t>
      </w:r>
    </w:p>
    <w:p>
      <w:pPr>
        <w:pStyle w:val="BodyText"/>
      </w:pPr>
      <w:r>
        <w:t xml:space="preserve">[dataset] [28] B. S. Kumar, MitoSeqGen trained model weights and evaluation artefacts, Hugging Face, 2026. https://huggingface.co/Sravankumarbonthada/mitoseqgen</w:t>
      </w:r>
    </w:p>
    <w:bookmarkEnd w:id="53"/>
    <w:bookmarkStart w:id="54" w:name="tables"/>
    <w:p>
      <w:pPr>
        <w:pStyle w:val="Heading2"/>
      </w:pPr>
      <w:r>
        <w:t xml:space="preserve">Tables</w:t>
      </w:r>
    </w:p>
    <w:p>
      <w:pPr>
        <w:pStyle w:val="FirstParagraph"/>
      </w:pPr>
      <w:r>
        <w:rPr>
          <w:bCs/>
          <w:b/>
        </w:rPr>
        <w:t xml:space="preserve">Table 1.</w:t>
      </w:r>
      <w:r>
        <w:t xml:space="preserve"> </w:t>
      </w:r>
      <w:r>
        <w:t xml:space="preserve">Baselines reported in the evaluation sections of published deep-learning codon-optimization and codon-language-model papers, compiled by reading each paper’s own baseline section. No paper we could access reports a baseline that copies codons from a retrieved homolog.</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Method</w:t>
            </w:r>
          </w:p>
        </w:tc>
        <w:tc>
          <w:tcPr/>
          <w:p>
            <w:pPr>
              <w:pStyle w:val="Compact"/>
              <w:jc w:val="left"/>
            </w:pPr>
            <w:r>
              <w:t xml:space="preserve">Venue</w:t>
            </w:r>
          </w:p>
        </w:tc>
        <w:tc>
          <w:tcPr/>
          <w:p>
            <w:pPr>
              <w:pStyle w:val="Compact"/>
              <w:jc w:val="left"/>
            </w:pPr>
            <w:r>
              <w:t xml:space="preserve">Freq./CAI</w:t>
            </w:r>
          </w:p>
        </w:tc>
        <w:tc>
          <w:tcPr/>
          <w:p>
            <w:pPr>
              <w:pStyle w:val="Compact"/>
              <w:jc w:val="left"/>
            </w:pPr>
            <w:r>
              <w:t xml:space="preserve">Algorithmic</w:t>
            </w:r>
          </w:p>
        </w:tc>
        <w:tc>
          <w:tcPr/>
          <w:p>
            <w:pPr>
              <w:pStyle w:val="Compact"/>
              <w:jc w:val="left"/>
            </w:pPr>
            <w:r>
              <w:t xml:space="preserve">Neural</w:t>
            </w:r>
          </w:p>
        </w:tc>
        <w:tc>
          <w:tcPr/>
          <w:p>
            <w:pPr>
              <w:pStyle w:val="Compact"/>
              <w:jc w:val="left"/>
            </w:pPr>
            <w:r>
              <w:t xml:space="preserve">Commercial</w:t>
            </w:r>
          </w:p>
        </w:tc>
        <w:tc>
          <w:tcPr/>
          <w:p>
            <w:pPr>
              <w:pStyle w:val="Compact"/>
              <w:jc w:val="left"/>
            </w:pPr>
            <w:r>
              <w:t xml:space="preserve">Wild-type</w:t>
            </w:r>
          </w:p>
        </w:tc>
        <w:tc>
          <w:tcPr/>
          <w:p>
            <w:pPr>
              <w:pStyle w:val="Compact"/>
              <w:jc w:val="left"/>
            </w:pPr>
            <w:r>
              <w:t xml:space="preserve">Ortholog-copy</w:t>
            </w:r>
          </w:p>
        </w:tc>
      </w:tr>
      <w:tr>
        <w:tc>
          <w:tcPr/>
          <w:p>
            <w:pPr>
              <w:pStyle w:val="Compact"/>
              <w:jc w:val="left"/>
            </w:pPr>
            <w:r>
              <w:t xml:space="preserve">CodonTransformer</w:t>
            </w:r>
          </w:p>
        </w:tc>
        <w:tc>
          <w:tcPr/>
          <w:p>
            <w:pPr>
              <w:pStyle w:val="Compact"/>
              <w:jc w:val="left"/>
            </w:pPr>
            <w:r>
              <w:t xml:space="preserve">Nat. Commun. 2025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ICOR</w:t>
            </w:r>
          </w:p>
        </w:tc>
        <w:tc>
          <w:tcPr/>
          <w:p>
            <w:pPr>
              <w:pStyle w:val="Compact"/>
              <w:jc w:val="left"/>
            </w:pPr>
            <w:r>
              <w:t xml:space="preserve">BMC Bioinform. 2023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mBART codon model</w:t>
            </w:r>
          </w:p>
        </w:tc>
        <w:tc>
          <w:tcPr/>
          <w:p>
            <w:pPr>
              <w:pStyle w:val="Compact"/>
              <w:jc w:val="left"/>
            </w:pPr>
            <w:r>
              <w:t xml:space="preserve">PNAS 2025</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OrthologTransformer</w:t>
            </w:r>
          </w:p>
        </w:tc>
        <w:tc>
          <w:tcPr/>
          <w:p>
            <w:pPr>
              <w:pStyle w:val="Compact"/>
              <w:jc w:val="left"/>
            </w:pPr>
            <w:r>
              <w:t xml:space="preserve">Nat. Commun. 2026</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CodonRL</w:t>
            </w:r>
          </w:p>
        </w:tc>
        <w:tc>
          <w:tcPr/>
          <w:p>
            <w:pPr>
              <w:pStyle w:val="Compact"/>
              <w:jc w:val="left"/>
            </w:pPr>
            <w:r>
              <w:t xml:space="preserve">bioRxiv 2026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RiboCode</w:t>
            </w:r>
          </w:p>
        </w:tc>
        <w:tc>
          <w:tcPr/>
          <w:p>
            <w:pPr>
              <w:pStyle w:val="Compact"/>
              <w:jc w:val="left"/>
            </w:pPr>
            <w:r>
              <w:t xml:space="preserve">Nat. Commun. 2025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SynCodonLM</w:t>
            </w:r>
          </w:p>
        </w:tc>
        <w:tc>
          <w:tcPr/>
          <w:p>
            <w:pPr>
              <w:pStyle w:val="Compact"/>
              <w:jc w:val="left"/>
            </w:pPr>
            <w:r>
              <w:t xml:space="preserve">Nucleic Acids Res. 2026</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CodonMamba</w:t>
            </w:r>
          </w:p>
        </w:tc>
        <w:tc>
          <w:tcPr/>
          <w:p>
            <w:pPr>
              <w:pStyle w:val="Compact"/>
              <w:jc w:val="left"/>
            </w:pPr>
            <w:r>
              <w:t xml:space="preserve">bioRxiv 2026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CodonFM / EnCodon</w:t>
            </w:r>
          </w:p>
        </w:tc>
        <w:tc>
          <w:tcPr/>
          <w:p>
            <w:pPr>
              <w:pStyle w:val="Compact"/>
              <w:jc w:val="left"/>
            </w:pPr>
            <w:r>
              <w:t xml:space="preserve">preprint 2026</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This paper</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c>
          <w:tcPr/>
          <w:p>
            <w:pPr>
              <w:pStyle w:val="Compact"/>
              <w:jc w:val="left"/>
            </w:pPr>
            <w:r>
              <w:rPr>
                <w:bCs/>
                <w:b/>
              </w:rPr>
              <w:t xml:space="preserve">yes</w:t>
            </w:r>
          </w:p>
        </w:tc>
      </w:tr>
    </w:tbl>
    <w:p>
      <w:pPr>
        <w:pStyle w:val="BodyText"/>
      </w:pPr>
      <w:r>
        <w:rPr>
          <w:bCs/>
          <w:b/>
        </w:rPr>
        <w:t xml:space="preserve">Table 2.</w:t>
      </w:r>
      <w:r>
        <w:t xml:space="preserve"> </w:t>
      </w:r>
      <w:r>
        <w:t xml:space="preserve">Species-level test split (</w:t>
      </w:r>
      <w:r>
        <w:rPr>
          <w:iCs/>
          <w:i/>
        </w:rPr>
        <w:t xml:space="preserve">n</w:t>
      </w:r>
      <w:r>
        <w:t xml:space="preserve"> </w:t>
      </w:r>
      <w:r>
        <w:t xml:space="preserve">= 5,155, 574 species). BLEU-4 against the natural sequence.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BLEU-4</w:t>
            </w:r>
          </w:p>
        </w:tc>
      </w:tr>
      <w:tr>
        <w:tc>
          <w:tcPr/>
          <w:p>
            <w:pPr>
              <w:pStyle w:val="Compact"/>
              <w:jc w:val="left"/>
            </w:pPr>
            <w:r>
              <w:t xml:space="preserve">Natural reference</w:t>
            </w:r>
          </w:p>
        </w:tc>
        <w:tc>
          <w:tcPr/>
          <w:p>
            <w:pPr>
              <w:pStyle w:val="Compact"/>
              <w:jc w:val="left"/>
            </w:pPr>
            <w:r>
              <w:t xml:space="preserve">1.000</w:t>
            </w:r>
          </w:p>
        </w:tc>
      </w:tr>
      <w:tr>
        <w:tc>
          <w:tcPr/>
          <w:p>
            <w:pPr>
              <w:pStyle w:val="Compact"/>
              <w:jc w:val="left"/>
            </w:pPr>
            <w:r>
              <w:rPr>
                <w:bCs/>
                <w:b/>
              </w:rPr>
              <w:t xml:space="preserve">Ortholog-copy (no training)</w:t>
            </w:r>
          </w:p>
        </w:tc>
        <w:tc>
          <w:tcPr/>
          <w:p>
            <w:pPr>
              <w:pStyle w:val="Compact"/>
              <w:jc w:val="left"/>
            </w:pPr>
            <w:r>
              <w:rPr>
                <w:bCs/>
                <w:b/>
              </w:rPr>
              <w:t xml:space="preserve">0.410</w:t>
            </w:r>
          </w:p>
        </w:tc>
      </w:tr>
      <w:tr>
        <w:tc>
          <w:tcPr/>
          <w:p>
            <w:pPr>
              <w:pStyle w:val="Compact"/>
              <w:jc w:val="left"/>
            </w:pPr>
            <w:r>
              <w:t xml:space="preserve">MitoSeqGen (trained, 25.2M)</w:t>
            </w:r>
          </w:p>
        </w:tc>
        <w:tc>
          <w:tcPr/>
          <w:p>
            <w:pPr>
              <w:pStyle w:val="Compact"/>
              <w:jc w:val="left"/>
            </w:pPr>
            <w:r>
              <w:t xml:space="preserve">0.313</w:t>
            </w:r>
          </w:p>
        </w:tc>
      </w:tr>
      <w:tr>
        <w:tc>
          <w:tcPr/>
          <w:p>
            <w:pPr>
              <w:pStyle w:val="Compact"/>
              <w:jc w:val="left"/>
            </w:pPr>
            <w:r>
              <w:t xml:space="preserve">CodonTransformer (fine-tuned)</w:t>
            </w:r>
          </w:p>
        </w:tc>
        <w:tc>
          <w:tcPr/>
          <w:p>
            <w:pPr>
              <w:pStyle w:val="Compact"/>
              <w:jc w:val="left"/>
            </w:pPr>
            <w:r>
              <w:t xml:space="preserve">0.244</w:t>
            </w:r>
          </w:p>
        </w:tc>
      </w:tr>
      <w:tr>
        <w:tc>
          <w:tcPr/>
          <w:p>
            <w:pPr>
              <w:pStyle w:val="Compact"/>
              <w:jc w:val="left"/>
            </w:pPr>
            <w:r>
              <w:t xml:space="preserve">Codon-usage lookup</w:t>
            </w:r>
          </w:p>
        </w:tc>
        <w:tc>
          <w:tcPr/>
          <w:p>
            <w:pPr>
              <w:pStyle w:val="Compact"/>
              <w:jc w:val="left"/>
            </w:pPr>
            <w:r>
              <w:t xml:space="preserve">0.171</w:t>
            </w:r>
          </w:p>
        </w:tc>
      </w:tr>
      <w:tr>
        <w:tc>
          <w:tcPr/>
          <w:p>
            <w:pPr>
              <w:pStyle w:val="Compact"/>
              <w:jc w:val="left"/>
            </w:pPr>
            <w:r>
              <w:t xml:space="preserve">Most-frequent codon</w:t>
            </w:r>
          </w:p>
        </w:tc>
        <w:tc>
          <w:tcPr/>
          <w:p>
            <w:pPr>
              <w:pStyle w:val="Compact"/>
              <w:jc w:val="left"/>
            </w:pPr>
            <w:r>
              <w:t xml:space="preserve">0.167</w:t>
            </w:r>
          </w:p>
        </w:tc>
      </w:tr>
      <w:tr>
        <w:tc>
          <w:tcPr/>
          <w:p>
            <w:pPr>
              <w:pStyle w:val="Compact"/>
              <w:jc w:val="left"/>
            </w:pPr>
            <w:r>
              <w:t xml:space="preserve">Standard-code optimizer, remapped</w:t>
            </w:r>
          </w:p>
        </w:tc>
        <w:tc>
          <w:tcPr/>
          <w:p>
            <w:pPr>
              <w:pStyle w:val="Compact"/>
              <w:jc w:val="left"/>
            </w:pPr>
            <w:r>
              <w:t xml:space="preserve">0.131</w:t>
            </w:r>
          </w:p>
        </w:tc>
      </w:tr>
      <w:tr>
        <w:tc>
          <w:tcPr/>
          <w:p>
            <w:pPr>
              <w:pStyle w:val="Compact"/>
              <w:jc w:val="left"/>
            </w:pPr>
            <w:r>
              <w:t xml:space="preserve">Random synonymous</w:t>
            </w:r>
          </w:p>
        </w:tc>
        <w:tc>
          <w:tcPr/>
          <w:p>
            <w:pPr>
              <w:pStyle w:val="Compact"/>
              <w:jc w:val="left"/>
            </w:pPr>
            <w:r>
              <w:t xml:space="preserve">0.075</w:t>
            </w:r>
          </w:p>
        </w:tc>
      </w:tr>
    </w:tbl>
    <w:p>
      <w:pPr>
        <w:pStyle w:val="BodyText"/>
      </w:pPr>
      <w:r>
        <w:rPr>
          <w:bCs/>
          <w:b/>
        </w:rPr>
        <w:t xml:space="preserve">Table 3.</w:t>
      </w:r>
      <w:r>
        <w:t xml:space="preserve"> </w:t>
      </w:r>
      <w:r>
        <w:t xml:space="preserve">Dependence of BLEU-4 on identity to the nearest training protein (</w:t>
      </w:r>
      <w:r>
        <w:rPr>
          <w:iCs/>
          <w:i/>
        </w:rPr>
        <w:t xml:space="preserve">n</w:t>
      </w:r>
      <w:r>
        <w:t xml:space="preserve"> </w:t>
      </w:r>
      <w:r>
        <w:t xml:space="preserve">= 5,155). Methods that cannot use homology show none.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Spearman ρ</w:t>
            </w:r>
          </w:p>
        </w:tc>
        <w:tc>
          <w:tcPr/>
          <w:p>
            <w:pPr>
              <w:pStyle w:val="Compact"/>
              <w:jc w:val="left"/>
            </w:pPr>
            <w:r>
              <w:t xml:space="preserve">R²</w:t>
            </w:r>
          </w:p>
        </w:tc>
        <w:tc>
          <w:tcPr/>
          <w:p>
            <w:pPr>
              <w:pStyle w:val="Compact"/>
              <w:jc w:val="left"/>
            </w:pPr>
            <w:r>
              <w:t xml:space="preserve">slope</w:t>
            </w:r>
          </w:p>
        </w:tc>
      </w:tr>
      <w:tr>
        <w:tc>
          <w:tcPr/>
          <w:p>
            <w:pPr>
              <w:pStyle w:val="Compact"/>
              <w:jc w:val="left"/>
            </w:pPr>
            <w:r>
              <w:t xml:space="preserve">Ortholog-copy</w:t>
            </w:r>
          </w:p>
        </w:tc>
        <w:tc>
          <w:tcPr/>
          <w:p>
            <w:pPr>
              <w:pStyle w:val="Compact"/>
              <w:jc w:val="left"/>
            </w:pPr>
            <w:r>
              <w:t xml:space="preserve">0.504</w:t>
            </w:r>
          </w:p>
        </w:tc>
        <w:tc>
          <w:tcPr/>
          <w:p>
            <w:pPr>
              <w:pStyle w:val="Compact"/>
              <w:jc w:val="left"/>
            </w:pPr>
            <w:r>
              <w:t xml:space="preserve">0.214</w:t>
            </w:r>
          </w:p>
        </w:tc>
        <w:tc>
          <w:tcPr/>
          <w:p>
            <w:pPr>
              <w:pStyle w:val="Compact"/>
              <w:jc w:val="left"/>
            </w:pPr>
            <w:r>
              <w:t xml:space="preserve">1.033</w:t>
            </w:r>
          </w:p>
        </w:tc>
      </w:tr>
      <w:tr>
        <w:tc>
          <w:tcPr/>
          <w:p>
            <w:pPr>
              <w:pStyle w:val="Compact"/>
              <w:jc w:val="left"/>
            </w:pPr>
            <w:r>
              <w:t xml:space="preserve">MitoSeqGen (trained)</w:t>
            </w:r>
          </w:p>
        </w:tc>
        <w:tc>
          <w:tcPr/>
          <w:p>
            <w:pPr>
              <w:pStyle w:val="Compact"/>
              <w:jc w:val="left"/>
            </w:pPr>
            <w:r>
              <w:t xml:space="preserve">0.264</w:t>
            </w:r>
          </w:p>
        </w:tc>
        <w:tc>
          <w:tcPr/>
          <w:p>
            <w:pPr>
              <w:pStyle w:val="Compact"/>
              <w:jc w:val="left"/>
            </w:pPr>
            <w:r>
              <w:t xml:space="preserve">0.065</w:t>
            </w:r>
          </w:p>
        </w:tc>
        <w:tc>
          <w:tcPr/>
          <w:p>
            <w:pPr>
              <w:pStyle w:val="Compact"/>
              <w:jc w:val="left"/>
            </w:pPr>
            <w:r>
              <w:t xml:space="preserve">0.427</w:t>
            </w:r>
          </w:p>
        </w:tc>
      </w:tr>
      <w:tr>
        <w:tc>
          <w:tcPr/>
          <w:p>
            <w:pPr>
              <w:pStyle w:val="Compact"/>
              <w:jc w:val="left"/>
            </w:pPr>
            <w:r>
              <w:t xml:space="preserve">Codon-usage lookup</w:t>
            </w:r>
          </w:p>
        </w:tc>
        <w:tc>
          <w:tcPr/>
          <w:p>
            <w:pPr>
              <w:pStyle w:val="Compact"/>
              <w:jc w:val="left"/>
            </w:pPr>
            <w:r>
              <w:t xml:space="preserve">0.042</w:t>
            </w:r>
          </w:p>
        </w:tc>
        <w:tc>
          <w:tcPr/>
          <w:p>
            <w:pPr>
              <w:pStyle w:val="Compact"/>
              <w:jc w:val="left"/>
            </w:pPr>
            <w:r>
              <w:t xml:space="preserve">0.003</w:t>
            </w:r>
          </w:p>
        </w:tc>
        <w:tc>
          <w:tcPr/>
          <w:p>
            <w:pPr>
              <w:pStyle w:val="Compact"/>
              <w:jc w:val="left"/>
            </w:pPr>
            <w:r>
              <w:t xml:space="preserve">0.064</w:t>
            </w:r>
          </w:p>
        </w:tc>
      </w:tr>
      <w:tr>
        <w:tc>
          <w:tcPr/>
          <w:p>
            <w:pPr>
              <w:pStyle w:val="Compact"/>
              <w:jc w:val="left"/>
            </w:pPr>
            <w:r>
              <w:t xml:space="preserve">Random synonymous</w:t>
            </w:r>
          </w:p>
        </w:tc>
        <w:tc>
          <w:tcPr/>
          <w:p>
            <w:pPr>
              <w:pStyle w:val="Compact"/>
              <w:jc w:val="left"/>
            </w:pPr>
            <w:r>
              <w:t xml:space="preserve">0.048</w:t>
            </w:r>
          </w:p>
        </w:tc>
        <w:tc>
          <w:tcPr/>
          <w:p>
            <w:pPr>
              <w:pStyle w:val="Compact"/>
              <w:jc w:val="left"/>
            </w:pPr>
            <w:r>
              <w:t xml:space="preserve">0.005</w:t>
            </w:r>
          </w:p>
        </w:tc>
        <w:tc>
          <w:tcPr/>
          <w:p>
            <w:pPr>
              <w:pStyle w:val="Compact"/>
              <w:jc w:val="left"/>
            </w:pPr>
            <w:r>
              <w:t xml:space="preserve">0.042</w:t>
            </w:r>
          </w:p>
        </w:tc>
      </w:tr>
    </w:tbl>
    <w:p>
      <w:pPr>
        <w:pStyle w:val="BodyText"/>
      </w:pPr>
      <w:r>
        <w:rPr>
          <w:bCs/>
          <w:b/>
        </w:rPr>
        <w:t xml:space="preserve">Table 4.</w:t>
      </w:r>
      <w:r>
        <w:t xml:space="preserve"> </w:t>
      </w:r>
      <w:r>
        <w:t xml:space="preserve">Identity-controlled benchmark (</w:t>
      </w:r>
      <w:r>
        <w:rPr>
          <w:iCs/>
          <w:i/>
        </w:rPr>
        <w:t xml:space="preserve">n</w:t>
      </w:r>
      <w:r>
        <w:t xml:space="preserve"> </w:t>
      </w:r>
      <w:r>
        <w:t xml:space="preserve">= 1,325, 980 species, maximum identity to training 0.699). Brackets are species-level bootstrap 95% confidence intervals. Deviations are means of per-sequence absolute differences from the matched natural reference (lower is better). mt-CAI and Shannon codon diversity are reported alongside the natural reference’s own values, which are the target: a method is better when it is closer to them, not when it is higher.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Method</w:t>
            </w:r>
          </w:p>
        </w:tc>
        <w:tc>
          <w:tcPr/>
          <w:p>
            <w:pPr>
              <w:pStyle w:val="Compact"/>
              <w:jc w:val="left"/>
            </w:pPr>
            <w:r>
              <w:t xml:space="preserve">Trained?</w:t>
            </w:r>
          </w:p>
        </w:tc>
        <w:tc>
          <w:tcPr/>
          <w:p>
            <w:pPr>
              <w:pStyle w:val="Compact"/>
              <w:jc w:val="left"/>
            </w:pPr>
            <w:r>
              <w:t xml:space="preserve">BLEU-4</w:t>
            </w:r>
          </w:p>
        </w:tc>
        <w:tc>
          <w:tcPr/>
          <w:p>
            <w:pPr>
              <w:pStyle w:val="Compact"/>
              <w:jc w:val="left"/>
            </w:pPr>
            <w:r>
              <w:t xml:space="preserve">95% CI</w:t>
            </w:r>
          </w:p>
        </w:tc>
        <w:tc>
          <w:tcPr/>
          <w:p>
            <w:pPr>
              <w:pStyle w:val="Compact"/>
              <w:jc w:val="left"/>
            </w:pPr>
            <w:r>
              <w:t xml:space="preserve">mt-CAI</w:t>
            </w:r>
          </w:p>
        </w:tc>
        <w:tc>
          <w:tcPr/>
          <w:p>
            <w:pPr>
              <w:pStyle w:val="Compact"/>
              <w:jc w:val="left"/>
            </w:pPr>
            <w:r>
              <w:t xml:space="preserve">Codon div.</w:t>
            </w:r>
          </w:p>
        </w:tc>
        <w:tc>
          <w:tcPr/>
          <w:p>
            <w:pPr>
              <w:pStyle w:val="Compact"/>
              <w:jc w:val="left"/>
            </w:pPr>
            <w:r>
              <w:t xml:space="preserve">GC dev.</w:t>
            </w:r>
          </w:p>
        </w:tc>
        <w:tc>
          <w:tcPr/>
          <w:p>
            <w:pPr>
              <w:pStyle w:val="Compact"/>
              <w:jc w:val="left"/>
            </w:pPr>
            <w:r>
              <w:t xml:space="preserve">MFE dev.</w:t>
            </w:r>
          </w:p>
        </w:tc>
      </w:tr>
      <w:tr>
        <w:tc>
          <w:tcPr/>
          <w:p>
            <w:pPr>
              <w:pStyle w:val="Compact"/>
              <w:jc w:val="left"/>
            </w:pPr>
            <w:r>
              <w:t xml:space="preserve">Natural reference</w:t>
            </w:r>
          </w:p>
        </w:tc>
        <w:tc>
          <w:tcPr/>
          <w:p>
            <w:pPr>
              <w:pStyle w:val="Compact"/>
              <w:jc w:val="left"/>
            </w:pPr>
            <w:r>
              <w:t xml:space="preserve">—</w:t>
            </w:r>
          </w:p>
        </w:tc>
        <w:tc>
          <w:tcPr/>
          <w:p>
            <w:pPr>
              <w:pStyle w:val="Compact"/>
              <w:jc w:val="left"/>
            </w:pPr>
            <w:r>
              <w:t xml:space="preserve">1.000</w:t>
            </w:r>
          </w:p>
        </w:tc>
        <w:tc>
          <w:tcPr/>
          <w:p>
            <w:pPr>
              <w:pStyle w:val="Compact"/>
              <w:jc w:val="left"/>
            </w:pPr>
            <w:r>
              <w:t xml:space="preserve">—</w:t>
            </w:r>
          </w:p>
        </w:tc>
        <w:tc>
          <w:tcPr/>
          <w:p>
            <w:pPr>
              <w:pStyle w:val="Compact"/>
              <w:jc w:val="left"/>
            </w:pPr>
            <w:r>
              <w:t xml:space="preserve">0.734</w:t>
            </w:r>
          </w:p>
        </w:tc>
        <w:tc>
          <w:tcPr/>
          <w:p>
            <w:pPr>
              <w:pStyle w:val="Compact"/>
              <w:jc w:val="left"/>
            </w:pPr>
            <w:r>
              <w:t xml:space="preserve">5.04</w:t>
            </w:r>
          </w:p>
        </w:tc>
        <w:tc>
          <w:tcPr/>
          <w:p>
            <w:pPr>
              <w:pStyle w:val="Compact"/>
              <w:jc w:val="left"/>
            </w:pPr>
            <w:r>
              <w:t xml:space="preserve">0.000</w:t>
            </w:r>
          </w:p>
        </w:tc>
        <w:tc>
          <w:tcPr/>
          <w:p>
            <w:pPr>
              <w:pStyle w:val="Compact"/>
              <w:jc w:val="left"/>
            </w:pPr>
            <w:r>
              <w:t xml:space="preserve">0.00</w:t>
            </w:r>
          </w:p>
        </w:tc>
      </w:tr>
      <w:tr>
        <w:tc>
          <w:tcPr/>
          <w:p>
            <w:pPr>
              <w:pStyle w:val="Compact"/>
              <w:jc w:val="left"/>
            </w:pPr>
            <w:r>
              <w:rPr>
                <w:bCs/>
                <w:b/>
              </w:rPr>
              <w:t xml:space="preserve">Ortholog-copy (no training)</w:t>
            </w:r>
          </w:p>
        </w:tc>
        <w:tc>
          <w:tcPr/>
          <w:p>
            <w:pPr>
              <w:pStyle w:val="Compact"/>
              <w:jc w:val="left"/>
            </w:pPr>
            <w:r>
              <w:t xml:space="preserve">no</w:t>
            </w:r>
          </w:p>
        </w:tc>
        <w:tc>
          <w:tcPr/>
          <w:p>
            <w:pPr>
              <w:pStyle w:val="Compact"/>
              <w:jc w:val="left"/>
            </w:pPr>
            <w:r>
              <w:rPr>
                <w:bCs/>
                <w:b/>
              </w:rPr>
              <w:t xml:space="preserve">0.206</w:t>
            </w:r>
          </w:p>
        </w:tc>
        <w:tc>
          <w:tcPr/>
          <w:p>
            <w:pPr>
              <w:pStyle w:val="Compact"/>
              <w:jc w:val="left"/>
            </w:pPr>
            <w:r>
              <w:t xml:space="preserve">[0.201, 0.210]</w:t>
            </w:r>
          </w:p>
        </w:tc>
        <w:tc>
          <w:tcPr/>
          <w:p>
            <w:pPr>
              <w:pStyle w:val="Compact"/>
              <w:jc w:val="left"/>
            </w:pPr>
            <w:r>
              <w:t xml:space="preserve">0.787</w:t>
            </w:r>
          </w:p>
        </w:tc>
        <w:tc>
          <w:tcPr/>
          <w:p>
            <w:pPr>
              <w:pStyle w:val="Compact"/>
              <w:jc w:val="left"/>
            </w:pPr>
            <w:r>
              <w:t xml:space="preserve">4.84</w:t>
            </w:r>
          </w:p>
        </w:tc>
        <w:tc>
          <w:tcPr/>
          <w:p>
            <w:pPr>
              <w:pStyle w:val="Compact"/>
              <w:jc w:val="left"/>
            </w:pPr>
            <w:r>
              <w:t xml:space="preserve">0.031</w:t>
            </w:r>
          </w:p>
        </w:tc>
        <w:tc>
          <w:tcPr/>
          <w:p>
            <w:pPr>
              <w:pStyle w:val="Compact"/>
              <w:jc w:val="left"/>
            </w:pPr>
            <w:r>
              <w:t xml:space="preserve">18.21</w:t>
            </w:r>
          </w:p>
        </w:tc>
      </w:tr>
      <w:tr>
        <w:tc>
          <w:tcPr/>
          <w:p>
            <w:pPr>
              <w:pStyle w:val="Compact"/>
              <w:jc w:val="left"/>
            </w:pPr>
            <w:r>
              <w:t xml:space="preserve">MitoSeqGen (trained)</w:t>
            </w:r>
          </w:p>
        </w:tc>
        <w:tc>
          <w:tcPr/>
          <w:p>
            <w:pPr>
              <w:pStyle w:val="Compact"/>
              <w:jc w:val="left"/>
            </w:pPr>
            <w:r>
              <w:t xml:space="preserve">yes</w:t>
            </w:r>
          </w:p>
        </w:tc>
        <w:tc>
          <w:tcPr/>
          <w:p>
            <w:pPr>
              <w:pStyle w:val="Compact"/>
              <w:jc w:val="left"/>
            </w:pPr>
            <w:r>
              <w:t xml:space="preserve">0.195</w:t>
            </w:r>
          </w:p>
        </w:tc>
        <w:tc>
          <w:tcPr/>
          <w:p>
            <w:pPr>
              <w:pStyle w:val="Compact"/>
              <w:jc w:val="left"/>
            </w:pPr>
            <w:r>
              <w:t xml:space="preserve">[0.188, 0.201]</w:t>
            </w:r>
          </w:p>
        </w:tc>
        <w:tc>
          <w:tcPr/>
          <w:p>
            <w:pPr>
              <w:pStyle w:val="Compact"/>
              <w:jc w:val="left"/>
            </w:pPr>
            <w:r>
              <w:t xml:space="preserve">0.964</w:t>
            </w:r>
          </w:p>
        </w:tc>
        <w:tc>
          <w:tcPr/>
          <w:p>
            <w:pPr>
              <w:pStyle w:val="Compact"/>
              <w:jc w:val="left"/>
            </w:pPr>
            <w:r>
              <w:t xml:space="preserve">4.11</w:t>
            </w:r>
          </w:p>
        </w:tc>
        <w:tc>
          <w:tcPr/>
          <w:p>
            <w:pPr>
              <w:pStyle w:val="Compact"/>
              <w:jc w:val="left"/>
            </w:pPr>
            <w:r>
              <w:t xml:space="preserve">0.036</w:t>
            </w:r>
          </w:p>
        </w:tc>
        <w:tc>
          <w:tcPr/>
          <w:p>
            <w:pPr>
              <w:pStyle w:val="Compact"/>
              <w:jc w:val="left"/>
            </w:pPr>
            <w:r>
              <w:t xml:space="preserve">37.83</w:t>
            </w:r>
          </w:p>
        </w:tc>
      </w:tr>
      <w:tr>
        <w:tc>
          <w:tcPr/>
          <w:p>
            <w:pPr>
              <w:pStyle w:val="Compact"/>
              <w:jc w:val="left"/>
            </w:pPr>
            <w:r>
              <w:t xml:space="preserve">MitoSeqGen + strand bit</w:t>
            </w:r>
          </w:p>
        </w:tc>
        <w:tc>
          <w:tcPr/>
          <w:p>
            <w:pPr>
              <w:pStyle w:val="Compact"/>
              <w:jc w:val="left"/>
            </w:pPr>
            <w:r>
              <w:t xml:space="preserve">yes</w:t>
            </w:r>
          </w:p>
        </w:tc>
        <w:tc>
          <w:tcPr/>
          <w:p>
            <w:pPr>
              <w:pStyle w:val="Compact"/>
              <w:jc w:val="left"/>
            </w:pPr>
            <w:r>
              <w:t xml:space="preserve">0.216</w:t>
            </w:r>
          </w:p>
        </w:tc>
        <w:tc>
          <w:tcPr/>
          <w:p>
            <w:pPr>
              <w:pStyle w:val="Compact"/>
              <w:jc w:val="left"/>
            </w:pPr>
            <w:r>
              <w:t xml:space="preserve">[0.210, 0.222]</w:t>
            </w:r>
          </w:p>
        </w:tc>
        <w:tc>
          <w:tcPr/>
          <w:p>
            <w:pPr>
              <w:pStyle w:val="Compact"/>
              <w:jc w:val="left"/>
            </w:pPr>
            <w:r>
              <w:t xml:space="preserve">0.923</w:t>
            </w:r>
          </w:p>
        </w:tc>
        <w:tc>
          <w:tcPr/>
          <w:p>
            <w:pPr>
              <w:pStyle w:val="Compact"/>
              <w:jc w:val="left"/>
            </w:pPr>
            <w:r>
              <w:t xml:space="preserve">4.19</w:t>
            </w:r>
          </w:p>
        </w:tc>
        <w:tc>
          <w:tcPr/>
          <w:p>
            <w:pPr>
              <w:pStyle w:val="Compact"/>
              <w:jc w:val="left"/>
            </w:pPr>
            <w:r>
              <w:t xml:space="preserve">0.040</w:t>
            </w:r>
          </w:p>
        </w:tc>
        <w:tc>
          <w:tcPr/>
          <w:p>
            <w:pPr>
              <w:pStyle w:val="Compact"/>
              <w:jc w:val="left"/>
            </w:pPr>
            <w:r>
              <w:t xml:space="preserve">40.56</w:t>
            </w:r>
          </w:p>
        </w:tc>
      </w:tr>
      <w:tr>
        <w:tc>
          <w:tcPr/>
          <w:p>
            <w:pPr>
              <w:pStyle w:val="Compact"/>
              <w:jc w:val="left"/>
            </w:pPr>
            <w:r>
              <w:t xml:space="preserve">Codon-usage lookup*</w:t>
            </w:r>
          </w:p>
        </w:tc>
        <w:tc>
          <w:tcPr/>
          <w:p>
            <w:pPr>
              <w:pStyle w:val="Compact"/>
              <w:jc w:val="left"/>
            </w:pPr>
            <w:r>
              <w:t xml:space="preserve">no</w:t>
            </w:r>
          </w:p>
        </w:tc>
        <w:tc>
          <w:tcPr/>
          <w:p>
            <w:pPr>
              <w:pStyle w:val="Compact"/>
              <w:jc w:val="left"/>
            </w:pPr>
            <w:r>
              <w:t xml:space="preserve">0.164</w:t>
            </w:r>
          </w:p>
        </w:tc>
        <w:tc>
          <w:tcPr/>
          <w:p>
            <w:pPr>
              <w:pStyle w:val="Compact"/>
              <w:jc w:val="left"/>
            </w:pPr>
            <w:r>
              <w:t xml:space="preserve">[0.159, 0.169]</w:t>
            </w:r>
          </w:p>
        </w:tc>
        <w:tc>
          <w:tcPr/>
          <w:p>
            <w:pPr>
              <w:pStyle w:val="Compact"/>
              <w:jc w:val="left"/>
            </w:pPr>
            <w:r>
              <w:t xml:space="preserve">1.000</w:t>
            </w:r>
          </w:p>
        </w:tc>
        <w:tc>
          <w:tcPr/>
          <w:p>
            <w:pPr>
              <w:pStyle w:val="Compact"/>
              <w:jc w:val="left"/>
            </w:pPr>
            <w:r>
              <w:t xml:space="preserve">3.82</w:t>
            </w:r>
          </w:p>
        </w:tc>
        <w:tc>
          <w:tcPr/>
          <w:p>
            <w:pPr>
              <w:pStyle w:val="Compact"/>
              <w:jc w:val="left"/>
            </w:pPr>
            <w:r>
              <w:t xml:space="preserve">0.030</w:t>
            </w:r>
          </w:p>
        </w:tc>
        <w:tc>
          <w:tcPr/>
          <w:p>
            <w:pPr>
              <w:pStyle w:val="Compact"/>
              <w:jc w:val="left"/>
            </w:pPr>
            <w:r>
              <w:t xml:space="preserve">46.22</w:t>
            </w:r>
          </w:p>
        </w:tc>
      </w:tr>
      <w:tr>
        <w:tc>
          <w:tcPr/>
          <w:p>
            <w:pPr>
              <w:pStyle w:val="Compact"/>
              <w:jc w:val="left"/>
            </w:pPr>
            <w:r>
              <w:t xml:space="preserve">Most-frequent codon*</w:t>
            </w:r>
          </w:p>
        </w:tc>
        <w:tc>
          <w:tcPr/>
          <w:p>
            <w:pPr>
              <w:pStyle w:val="Compact"/>
              <w:jc w:val="left"/>
            </w:pPr>
            <w:r>
              <w:t xml:space="preserve">no</w:t>
            </w:r>
          </w:p>
        </w:tc>
        <w:tc>
          <w:tcPr/>
          <w:p>
            <w:pPr>
              <w:pStyle w:val="Compact"/>
              <w:jc w:val="left"/>
            </w:pPr>
            <w:r>
              <w:t xml:space="preserve">0.164</w:t>
            </w:r>
          </w:p>
        </w:tc>
        <w:tc>
          <w:tcPr/>
          <w:p>
            <w:pPr>
              <w:pStyle w:val="Compact"/>
              <w:jc w:val="left"/>
            </w:pPr>
            <w:r>
              <w:t xml:space="preserve">[0.159, 0.169]</w:t>
            </w:r>
          </w:p>
        </w:tc>
        <w:tc>
          <w:tcPr/>
          <w:p>
            <w:pPr>
              <w:pStyle w:val="Compact"/>
              <w:jc w:val="left"/>
            </w:pPr>
            <w:r>
              <w:t xml:space="preserve">1.000</w:t>
            </w:r>
          </w:p>
        </w:tc>
        <w:tc>
          <w:tcPr/>
          <w:p>
            <w:pPr>
              <w:pStyle w:val="Compact"/>
              <w:jc w:val="left"/>
            </w:pPr>
            <w:r>
              <w:t xml:space="preserve">3.82</w:t>
            </w:r>
          </w:p>
        </w:tc>
        <w:tc>
          <w:tcPr/>
          <w:p>
            <w:pPr>
              <w:pStyle w:val="Compact"/>
              <w:jc w:val="left"/>
            </w:pPr>
            <w:r>
              <w:t xml:space="preserve">0.030</w:t>
            </w:r>
          </w:p>
        </w:tc>
        <w:tc>
          <w:tcPr/>
          <w:p>
            <w:pPr>
              <w:pStyle w:val="Compact"/>
              <w:jc w:val="left"/>
            </w:pPr>
            <w:r>
              <w:t xml:space="preserve">46.22</w:t>
            </w:r>
          </w:p>
        </w:tc>
      </w:tr>
      <w:tr>
        <w:tc>
          <w:tcPr/>
          <w:p>
            <w:pPr>
              <w:pStyle w:val="Compact"/>
              <w:jc w:val="left"/>
            </w:pPr>
            <w:r>
              <w:t xml:space="preserve">Standard-code optimizer, remapped</w:t>
            </w:r>
          </w:p>
        </w:tc>
        <w:tc>
          <w:tcPr/>
          <w:p>
            <w:pPr>
              <w:pStyle w:val="Compact"/>
              <w:jc w:val="left"/>
            </w:pPr>
            <w:r>
              <w:t xml:space="preserve">no</w:t>
            </w:r>
          </w:p>
        </w:tc>
        <w:tc>
          <w:tcPr/>
          <w:p>
            <w:pPr>
              <w:pStyle w:val="Compact"/>
              <w:jc w:val="left"/>
            </w:pPr>
            <w:r>
              <w:t xml:space="preserve">0.118</w:t>
            </w:r>
          </w:p>
        </w:tc>
        <w:tc>
          <w:tcPr/>
          <w:p>
            <w:pPr>
              <w:pStyle w:val="Compact"/>
              <w:jc w:val="left"/>
            </w:pPr>
            <w:r>
              <w:t xml:space="preserve">[0.114, 0.122]</w:t>
            </w:r>
          </w:p>
        </w:tc>
        <w:tc>
          <w:tcPr/>
          <w:p>
            <w:pPr>
              <w:pStyle w:val="Compact"/>
              <w:jc w:val="left"/>
            </w:pPr>
            <w:r>
              <w:t xml:space="preserve">0.910</w:t>
            </w:r>
          </w:p>
        </w:tc>
        <w:tc>
          <w:tcPr/>
          <w:p>
            <w:pPr>
              <w:pStyle w:val="Compact"/>
              <w:jc w:val="left"/>
            </w:pPr>
            <w:r>
              <w:t xml:space="preserve">3.82</w:t>
            </w:r>
          </w:p>
        </w:tc>
        <w:tc>
          <w:tcPr/>
          <w:p>
            <w:pPr>
              <w:pStyle w:val="Compact"/>
              <w:jc w:val="left"/>
            </w:pPr>
            <w:r>
              <w:t xml:space="preserve">0.034</w:t>
            </w:r>
          </w:p>
        </w:tc>
        <w:tc>
          <w:tcPr/>
          <w:p>
            <w:pPr>
              <w:pStyle w:val="Compact"/>
              <w:jc w:val="left"/>
            </w:pPr>
            <w:r>
              <w:t xml:space="preserve">16.85</w:t>
            </w:r>
          </w:p>
        </w:tc>
      </w:tr>
      <w:tr>
        <w:tc>
          <w:tcPr/>
          <w:p>
            <w:pPr>
              <w:pStyle w:val="Compact"/>
              <w:jc w:val="left"/>
            </w:pPr>
            <w:r>
              <w:t xml:space="preserve">Random synonymous</w:t>
            </w:r>
          </w:p>
        </w:tc>
        <w:tc>
          <w:tcPr/>
          <w:p>
            <w:pPr>
              <w:pStyle w:val="Compact"/>
              <w:jc w:val="left"/>
            </w:pPr>
            <w:r>
              <w:t xml:space="preserve">no</w:t>
            </w:r>
          </w:p>
        </w:tc>
        <w:tc>
          <w:tcPr/>
          <w:p>
            <w:pPr>
              <w:pStyle w:val="Compact"/>
              <w:jc w:val="left"/>
            </w:pPr>
            <w:r>
              <w:t xml:space="preserve">0.071</w:t>
            </w:r>
          </w:p>
        </w:tc>
        <w:tc>
          <w:tcPr/>
          <w:p>
            <w:pPr>
              <w:pStyle w:val="Compact"/>
              <w:jc w:val="left"/>
            </w:pPr>
            <w:r>
              <w:t xml:space="preserve">[0.069, 0.074]</w:t>
            </w:r>
          </w:p>
        </w:tc>
        <w:tc>
          <w:tcPr/>
          <w:p>
            <w:pPr>
              <w:pStyle w:val="Compact"/>
              <w:jc w:val="left"/>
            </w:pPr>
            <w:r>
              <w:t xml:space="preserve">0.555</w:t>
            </w:r>
          </w:p>
        </w:tc>
        <w:tc>
          <w:tcPr/>
          <w:p>
            <w:pPr>
              <w:pStyle w:val="Compact"/>
              <w:jc w:val="left"/>
            </w:pPr>
            <w:r>
              <w:t xml:space="preserve">5.35</w:t>
            </w:r>
          </w:p>
        </w:tc>
        <w:tc>
          <w:tcPr/>
          <w:p>
            <w:pPr>
              <w:pStyle w:val="Compact"/>
              <w:jc w:val="left"/>
            </w:pPr>
            <w:r>
              <w:t xml:space="preserve">0.043</w:t>
            </w:r>
          </w:p>
        </w:tc>
        <w:tc>
          <w:tcPr/>
          <w:p>
            <w:pPr>
              <w:pStyle w:val="Compact"/>
              <w:jc w:val="left"/>
            </w:pPr>
            <w:r>
              <w:t xml:space="preserve">69.56</w:t>
            </w:r>
          </w:p>
        </w:tc>
      </w:tr>
    </w:tbl>
    <w:p>
      <w:pPr>
        <w:pStyle w:val="BodyText"/>
      </w:pPr>
      <w:r>
        <w:t xml:space="preserve">*These two baselines are conventionally reported as distinct, but their lookup tables are identical at every amino acid on this split.</w:t>
      </w:r>
    </w:p>
    <w:p>
      <w:pPr>
        <w:pStyle w:val="BodyText"/>
      </w:pPr>
      <w:r>
        <w:rPr>
          <w:bCs/>
          <w:b/>
        </w:rPr>
        <w:t xml:space="preserve">Table 5.</w:t>
      </w:r>
      <w:r>
        <w:t xml:space="preserve"> </w:t>
      </w:r>
      <w:r>
        <w:t xml:space="preserve">Homology leakage in the CodonTransformer corpus under a random holdout (</w:t>
      </w:r>
      <w:r>
        <w:rPr>
          <w:iCs/>
          <w:i/>
        </w:rPr>
        <w:t xml:space="preserve">n</w:t>
      </w:r>
      <w:r>
        <w:t xml:space="preserve"> </w:t>
      </w:r>
      <w:r>
        <w:t xml:space="preserve">= 300 queries per organism). Identity is to the nearest training protein of the same organism.</w:t>
      </w:r>
      <w:r>
        <w:t xml:space="preserve"> </w:t>
      </w:r>
      <w:r>
        <w:t xml:space="preserve">“</w:t>
      </w:r>
      <w:r>
        <w:t xml:space="preserve">Copy</w:t>
      </w:r>
      <w:r>
        <w:t xml:space="preserve">”</w:t>
      </w:r>
      <w:r>
        <w:t xml:space="preserve"> </w:t>
      </w:r>
      <w:r>
        <w:t xml:space="preserve">is the ortholog-copy baseline;</w:t>
      </w:r>
      <w:r>
        <w:t xml:space="preserve"> </w:t>
      </w:r>
      <w:r>
        <w:t xml:space="preserve">“</w:t>
      </w:r>
      <w:r>
        <w:t xml:space="preserve">MFC</w:t>
      </w:r>
      <w:r>
        <w:t xml:space="preserve">”</w:t>
      </w:r>
      <w:r>
        <w:t xml:space="preserve"> </w:t>
      </w:r>
      <w:r>
        <w:t xml:space="preserve">is that organism’s most-frequent-codon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Organism</w:t>
            </w:r>
          </w:p>
        </w:tc>
        <w:tc>
          <w:tcPr/>
          <w:p>
            <w:pPr>
              <w:pStyle w:val="Compact"/>
              <w:jc w:val="left"/>
            </w:pPr>
            <w:r>
              <w:t xml:space="preserve">Median ident.</w:t>
            </w:r>
          </w:p>
        </w:tc>
        <w:tc>
          <w:tcPr/>
          <w:p>
            <w:pPr>
              <w:pStyle w:val="Compact"/>
              <w:jc w:val="left"/>
            </w:pPr>
            <w:r>
              <w:t xml:space="preserve">Exact match</w:t>
            </w:r>
          </w:p>
        </w:tc>
        <w:tc>
          <w:tcPr/>
          <w:p>
            <w:pPr>
              <w:pStyle w:val="Compact"/>
              <w:jc w:val="left"/>
            </w:pPr>
            <w:r>
              <w:t xml:space="preserve">BLEU copy</w:t>
            </w:r>
          </w:p>
        </w:tc>
        <w:tc>
          <w:tcPr/>
          <w:p>
            <w:pPr>
              <w:pStyle w:val="Compact"/>
              <w:jc w:val="left"/>
            </w:pPr>
            <w:r>
              <w:t xml:space="preserve">BLEU MFC</w:t>
            </w:r>
          </w:p>
        </w:tc>
        <w:tc>
          <w:tcPr/>
          <w:p>
            <w:pPr>
              <w:pStyle w:val="Compact"/>
              <w:jc w:val="left"/>
            </w:pPr>
            <w:r>
              <w:t xml:space="preserve">Copy wins</w:t>
            </w:r>
          </w:p>
        </w:tc>
      </w:tr>
      <w:tr>
        <w:tc>
          <w:tcPr/>
          <w:p>
            <w:pPr>
              <w:pStyle w:val="Compact"/>
              <w:jc w:val="left"/>
            </w:pPr>
            <w:r>
              <w:rPr>
                <w:iCs/>
                <w:i/>
              </w:rPr>
              <w:t xml:space="preserve">Escherichia coli</w:t>
            </w:r>
            <w:r>
              <w:t xml:space="preserve">†</w:t>
            </w:r>
          </w:p>
        </w:tc>
        <w:tc>
          <w:tcPr/>
          <w:p>
            <w:pPr>
              <w:pStyle w:val="Compact"/>
              <w:jc w:val="left"/>
            </w:pPr>
            <w:r>
              <w:t xml:space="preserve">0.997</w:t>
            </w:r>
          </w:p>
        </w:tc>
        <w:tc>
          <w:tcPr/>
          <w:p>
            <w:pPr>
              <w:pStyle w:val="Compact"/>
              <w:jc w:val="left"/>
            </w:pPr>
            <w:r>
              <w:t xml:space="preserve">38.7%</w:t>
            </w:r>
          </w:p>
        </w:tc>
        <w:tc>
          <w:tcPr/>
          <w:p>
            <w:pPr>
              <w:pStyle w:val="Compact"/>
              <w:jc w:val="left"/>
            </w:pPr>
            <w:r>
              <w:rPr>
                <w:bCs/>
                <w:b/>
              </w:rPr>
              <w:t xml:space="preserve">0.855</w:t>
            </w:r>
          </w:p>
        </w:tc>
        <w:tc>
          <w:tcPr/>
          <w:p>
            <w:pPr>
              <w:pStyle w:val="Compact"/>
              <w:jc w:val="left"/>
            </w:pPr>
            <w:r>
              <w:t xml:space="preserve">0.191</w:t>
            </w:r>
          </w:p>
        </w:tc>
        <w:tc>
          <w:tcPr/>
          <w:p>
            <w:pPr>
              <w:pStyle w:val="Compact"/>
              <w:jc w:val="left"/>
            </w:pPr>
            <w:r>
              <w:t xml:space="preserve">97%</w:t>
            </w:r>
          </w:p>
        </w:tc>
      </w:tr>
      <w:tr>
        <w:tc>
          <w:tcPr/>
          <w:p>
            <w:pPr>
              <w:pStyle w:val="Compact"/>
              <w:jc w:val="left"/>
            </w:pPr>
            <w:r>
              <w:rPr>
                <w:iCs/>
                <w:i/>
              </w:rPr>
              <w:t xml:space="preserve">Homo sapiens</w:t>
            </w:r>
          </w:p>
        </w:tc>
        <w:tc>
          <w:tcPr/>
          <w:p>
            <w:pPr>
              <w:pStyle w:val="Compact"/>
              <w:jc w:val="left"/>
            </w:pPr>
            <w:r>
              <w:t xml:space="preserve">0.981</w:t>
            </w:r>
          </w:p>
        </w:tc>
        <w:tc>
          <w:tcPr/>
          <w:p>
            <w:pPr>
              <w:pStyle w:val="Compact"/>
              <w:jc w:val="left"/>
            </w:pPr>
            <w:r>
              <w:t xml:space="preserve">10.7%</w:t>
            </w:r>
          </w:p>
        </w:tc>
        <w:tc>
          <w:tcPr/>
          <w:p>
            <w:pPr>
              <w:pStyle w:val="Compact"/>
              <w:jc w:val="left"/>
            </w:pPr>
            <w:r>
              <w:rPr>
                <w:bCs/>
                <w:b/>
              </w:rPr>
              <w:t xml:space="preserve">0.924</w:t>
            </w:r>
          </w:p>
        </w:tc>
        <w:tc>
          <w:tcPr/>
          <w:p>
            <w:pPr>
              <w:pStyle w:val="Compact"/>
              <w:jc w:val="left"/>
            </w:pPr>
            <w:r>
              <w:t xml:space="preserve">0.150</w:t>
            </w:r>
          </w:p>
        </w:tc>
        <w:tc>
          <w:tcPr/>
          <w:p>
            <w:pPr>
              <w:pStyle w:val="Compact"/>
              <w:jc w:val="left"/>
            </w:pPr>
            <w:r>
              <w:t xml:space="preserve">99%</w:t>
            </w:r>
          </w:p>
        </w:tc>
      </w:tr>
      <w:tr>
        <w:tc>
          <w:tcPr/>
          <w:p>
            <w:pPr>
              <w:pStyle w:val="Compact"/>
              <w:jc w:val="left"/>
            </w:pPr>
            <w:r>
              <w:rPr>
                <w:iCs/>
                <w:i/>
              </w:rPr>
              <w:t xml:space="preserve">Danio rerio</w:t>
            </w:r>
          </w:p>
        </w:tc>
        <w:tc>
          <w:tcPr/>
          <w:p>
            <w:pPr>
              <w:pStyle w:val="Compact"/>
              <w:jc w:val="left"/>
            </w:pPr>
            <w:r>
              <w:t xml:space="preserve">0.920</w:t>
            </w:r>
          </w:p>
        </w:tc>
        <w:tc>
          <w:tcPr/>
          <w:p>
            <w:pPr>
              <w:pStyle w:val="Compact"/>
              <w:jc w:val="left"/>
            </w:pPr>
            <w:r>
              <w:t xml:space="preserve">3.7%</w:t>
            </w:r>
          </w:p>
        </w:tc>
        <w:tc>
          <w:tcPr/>
          <w:p>
            <w:pPr>
              <w:pStyle w:val="Compact"/>
              <w:jc w:val="left"/>
            </w:pPr>
            <w:r>
              <w:rPr>
                <w:bCs/>
                <w:b/>
              </w:rPr>
              <w:t xml:space="preserve">0.702</w:t>
            </w:r>
          </w:p>
        </w:tc>
        <w:tc>
          <w:tcPr/>
          <w:p>
            <w:pPr>
              <w:pStyle w:val="Compact"/>
              <w:jc w:val="left"/>
            </w:pPr>
            <w:r>
              <w:t xml:space="preserve">0.145</w:t>
            </w:r>
          </w:p>
        </w:tc>
        <w:tc>
          <w:tcPr/>
          <w:p>
            <w:pPr>
              <w:pStyle w:val="Compact"/>
              <w:jc w:val="left"/>
            </w:pPr>
            <w:r>
              <w:t xml:space="preserve">91%</w:t>
            </w:r>
          </w:p>
        </w:tc>
      </w:tr>
      <w:tr>
        <w:tc>
          <w:tcPr/>
          <w:p>
            <w:pPr>
              <w:pStyle w:val="Compact"/>
              <w:jc w:val="left"/>
            </w:pPr>
            <w:r>
              <w:rPr>
                <w:iCs/>
                <w:i/>
              </w:rPr>
              <w:t xml:space="preserve">Arabidopsis thaliana</w:t>
            </w:r>
          </w:p>
        </w:tc>
        <w:tc>
          <w:tcPr/>
          <w:p>
            <w:pPr>
              <w:pStyle w:val="Compact"/>
              <w:jc w:val="left"/>
            </w:pPr>
            <w:r>
              <w:t xml:space="preserve">0.781</w:t>
            </w:r>
          </w:p>
        </w:tc>
        <w:tc>
          <w:tcPr/>
          <w:p>
            <w:pPr>
              <w:pStyle w:val="Compact"/>
              <w:jc w:val="left"/>
            </w:pPr>
            <w:r>
              <w:t xml:space="preserve">0.0%</w:t>
            </w:r>
          </w:p>
        </w:tc>
        <w:tc>
          <w:tcPr/>
          <w:p>
            <w:pPr>
              <w:pStyle w:val="Compact"/>
              <w:jc w:val="left"/>
            </w:pPr>
            <w:r>
              <w:rPr>
                <w:bCs/>
                <w:b/>
              </w:rPr>
              <w:t xml:space="preserve">0.597</w:t>
            </w:r>
          </w:p>
        </w:tc>
        <w:tc>
          <w:tcPr/>
          <w:p>
            <w:pPr>
              <w:pStyle w:val="Compact"/>
              <w:jc w:val="left"/>
            </w:pPr>
            <w:r>
              <w:t xml:space="preserve">0.140</w:t>
            </w:r>
          </w:p>
        </w:tc>
        <w:tc>
          <w:tcPr/>
          <w:p>
            <w:pPr>
              <w:pStyle w:val="Compact"/>
              <w:jc w:val="left"/>
            </w:pPr>
            <w:r>
              <w:t xml:space="preserve">93%</w:t>
            </w:r>
          </w:p>
        </w:tc>
      </w:tr>
      <w:tr>
        <w:tc>
          <w:tcPr/>
          <w:p>
            <w:pPr>
              <w:pStyle w:val="Compact"/>
              <w:jc w:val="left"/>
            </w:pPr>
            <w:r>
              <w:rPr>
                <w:iCs/>
                <w:i/>
              </w:rPr>
              <w:t xml:space="preserve">Drosophila melanogaster</w:t>
            </w:r>
          </w:p>
        </w:tc>
        <w:tc>
          <w:tcPr/>
          <w:p>
            <w:pPr>
              <w:pStyle w:val="Compact"/>
              <w:jc w:val="left"/>
            </w:pPr>
            <w:r>
              <w:t xml:space="preserve">0.571</w:t>
            </w:r>
          </w:p>
        </w:tc>
        <w:tc>
          <w:tcPr/>
          <w:p>
            <w:pPr>
              <w:pStyle w:val="Compact"/>
              <w:jc w:val="left"/>
            </w:pPr>
            <w:r>
              <w:t xml:space="preserve">0.3%</w:t>
            </w:r>
          </w:p>
        </w:tc>
        <w:tc>
          <w:tcPr/>
          <w:p>
            <w:pPr>
              <w:pStyle w:val="Compact"/>
              <w:jc w:val="left"/>
            </w:pPr>
            <w:r>
              <w:rPr>
                <w:bCs/>
                <w:b/>
              </w:rPr>
              <w:t xml:space="preserve">0.572</w:t>
            </w:r>
          </w:p>
        </w:tc>
        <w:tc>
          <w:tcPr/>
          <w:p>
            <w:pPr>
              <w:pStyle w:val="Compact"/>
              <w:jc w:val="left"/>
            </w:pPr>
            <w:r>
              <w:t xml:space="preserve">0.208</w:t>
            </w:r>
          </w:p>
        </w:tc>
        <w:tc>
          <w:tcPr/>
          <w:p>
            <w:pPr>
              <w:pStyle w:val="Compact"/>
              <w:jc w:val="left"/>
            </w:pPr>
            <w:r>
              <w:t xml:space="preserve">73%</w:t>
            </w:r>
          </w:p>
        </w:tc>
      </w:tr>
      <w:tr>
        <w:tc>
          <w:tcPr/>
          <w:p>
            <w:pPr>
              <w:pStyle w:val="Compact"/>
              <w:jc w:val="left"/>
            </w:pPr>
            <w:r>
              <w:rPr>
                <w:iCs/>
                <w:i/>
              </w:rPr>
              <w:t xml:space="preserve">Caenorhabditis elegans</w:t>
            </w:r>
          </w:p>
        </w:tc>
        <w:tc>
          <w:tcPr/>
          <w:p>
            <w:pPr>
              <w:pStyle w:val="Compact"/>
              <w:jc w:val="left"/>
            </w:pPr>
            <w:r>
              <w:t xml:space="preserve">0.527</w:t>
            </w:r>
          </w:p>
        </w:tc>
        <w:tc>
          <w:tcPr/>
          <w:p>
            <w:pPr>
              <w:pStyle w:val="Compact"/>
              <w:jc w:val="left"/>
            </w:pPr>
            <w:r>
              <w:t xml:space="preserve">1.0%</w:t>
            </w:r>
          </w:p>
        </w:tc>
        <w:tc>
          <w:tcPr/>
          <w:p>
            <w:pPr>
              <w:pStyle w:val="Compact"/>
              <w:jc w:val="left"/>
            </w:pPr>
            <w:r>
              <w:rPr>
                <w:bCs/>
                <w:b/>
              </w:rPr>
              <w:t xml:space="preserve">0.509</w:t>
            </w:r>
          </w:p>
        </w:tc>
        <w:tc>
          <w:tcPr/>
          <w:p>
            <w:pPr>
              <w:pStyle w:val="Compact"/>
              <w:jc w:val="left"/>
            </w:pPr>
            <w:r>
              <w:t xml:space="preserve">0.167</w:t>
            </w:r>
          </w:p>
        </w:tc>
        <w:tc>
          <w:tcPr/>
          <w:p>
            <w:pPr>
              <w:pStyle w:val="Compact"/>
              <w:jc w:val="left"/>
            </w:pPr>
            <w:r>
              <w:t xml:space="preserve">81%</w:t>
            </w:r>
          </w:p>
        </w:tc>
      </w:tr>
      <w:tr>
        <w:tc>
          <w:tcPr/>
          <w:p>
            <w:pPr>
              <w:pStyle w:val="Compact"/>
              <w:jc w:val="left"/>
            </w:pPr>
            <w:r>
              <w:rPr>
                <w:iCs/>
                <w:i/>
              </w:rPr>
              <w:t xml:space="preserve">Bacillus subtilis</w:t>
            </w:r>
          </w:p>
        </w:tc>
        <w:tc>
          <w:tcPr/>
          <w:p>
            <w:pPr>
              <w:pStyle w:val="Compact"/>
              <w:jc w:val="left"/>
            </w:pPr>
            <w:r>
              <w:t xml:space="preserve">0.279</w:t>
            </w:r>
          </w:p>
        </w:tc>
        <w:tc>
          <w:tcPr/>
          <w:p>
            <w:pPr>
              <w:pStyle w:val="Compact"/>
              <w:jc w:val="left"/>
            </w:pPr>
            <w:r>
              <w:t xml:space="preserve">0.0%</w:t>
            </w:r>
          </w:p>
        </w:tc>
        <w:tc>
          <w:tcPr/>
          <w:p>
            <w:pPr>
              <w:pStyle w:val="Compact"/>
              <w:jc w:val="left"/>
            </w:pPr>
            <w:r>
              <w:rPr>
                <w:bCs/>
                <w:b/>
              </w:rPr>
              <w:t xml:space="preserve">0.160</w:t>
            </w:r>
          </w:p>
        </w:tc>
        <w:tc>
          <w:tcPr/>
          <w:p>
            <w:pPr>
              <w:pStyle w:val="Compact"/>
              <w:jc w:val="left"/>
            </w:pPr>
            <w:r>
              <w:t xml:space="preserve">0.155</w:t>
            </w:r>
          </w:p>
        </w:tc>
        <w:tc>
          <w:tcPr/>
          <w:p>
            <w:pPr>
              <w:pStyle w:val="Compact"/>
              <w:jc w:val="left"/>
            </w:pPr>
            <w:r>
              <w:t xml:space="preserve">60%</w:t>
            </w:r>
          </w:p>
        </w:tc>
      </w:tr>
      <w:tr>
        <w:tc>
          <w:tcPr/>
          <w:p>
            <w:pPr>
              <w:pStyle w:val="Compact"/>
              <w:jc w:val="left"/>
            </w:pPr>
            <w:r>
              <w:rPr>
                <w:iCs/>
                <w:i/>
              </w:rPr>
              <w:t xml:space="preserve">Saccharomyces cerevisiae</w:t>
            </w:r>
          </w:p>
        </w:tc>
        <w:tc>
          <w:tcPr/>
          <w:p>
            <w:pPr>
              <w:pStyle w:val="Compact"/>
              <w:jc w:val="left"/>
            </w:pPr>
            <w:r>
              <w:t xml:space="preserve">0.265</w:t>
            </w:r>
          </w:p>
        </w:tc>
        <w:tc>
          <w:tcPr/>
          <w:p>
            <w:pPr>
              <w:pStyle w:val="Compact"/>
              <w:jc w:val="left"/>
            </w:pPr>
            <w:r>
              <w:t xml:space="preserve">0.3%</w:t>
            </w:r>
          </w:p>
        </w:tc>
        <w:tc>
          <w:tcPr/>
          <w:p>
            <w:pPr>
              <w:pStyle w:val="Compact"/>
              <w:jc w:val="left"/>
            </w:pPr>
            <w:r>
              <w:rPr>
                <w:bCs/>
                <w:b/>
              </w:rPr>
              <w:t xml:space="preserve">0.205</w:t>
            </w:r>
          </w:p>
        </w:tc>
        <w:tc>
          <w:tcPr/>
          <w:p>
            <w:pPr>
              <w:pStyle w:val="Compact"/>
              <w:jc w:val="left"/>
            </w:pPr>
            <w:r>
              <w:t xml:space="preserve">0.168</w:t>
            </w:r>
          </w:p>
        </w:tc>
        <w:tc>
          <w:tcPr/>
          <w:p>
            <w:pPr>
              <w:pStyle w:val="Compact"/>
              <w:jc w:val="left"/>
            </w:pPr>
            <w:r>
              <w:t xml:space="preserve">61%</w:t>
            </w:r>
          </w:p>
        </w:tc>
      </w:tr>
      <w:tr>
        <w:tc>
          <w:tcPr/>
          <w:p>
            <w:pPr>
              <w:pStyle w:val="Compact"/>
              <w:jc w:val="left"/>
            </w:pPr>
            <w:r>
              <w:t xml:space="preserve">Vertebrate mitochondria</w:t>
            </w:r>
          </w:p>
        </w:tc>
        <w:tc>
          <w:tcPr/>
          <w:p>
            <w:pPr>
              <w:pStyle w:val="Compact"/>
              <w:jc w:val="left"/>
            </w:pPr>
            <w:r>
              <w:t xml:space="preserve">0.967</w:t>
            </w:r>
          </w:p>
        </w:tc>
        <w:tc>
          <w:tcPr/>
          <w:p>
            <w:pPr>
              <w:pStyle w:val="Compact"/>
              <w:jc w:val="left"/>
            </w:pPr>
            <w:r>
              <w:t xml:space="preserve">6.6%</w:t>
            </w:r>
          </w:p>
        </w:tc>
        <w:tc>
          <w:tcPr/>
          <w:p>
            <w:pPr>
              <w:pStyle w:val="Compact"/>
              <w:jc w:val="left"/>
            </w:pPr>
            <w:r>
              <w:t xml:space="preserve">0.410</w:t>
            </w:r>
          </w:p>
        </w:tc>
        <w:tc>
          <w:tcPr/>
          <w:p>
            <w:pPr>
              <w:pStyle w:val="Compact"/>
              <w:jc w:val="left"/>
            </w:pPr>
            <w:r>
              <w:t xml:space="preserve">0.167</w:t>
            </w:r>
          </w:p>
        </w:tc>
        <w:tc>
          <w:tcPr/>
          <w:p>
            <w:pPr>
              <w:pStyle w:val="Compact"/>
              <w:jc w:val="left"/>
            </w:pPr>
            <w:r>
              <w:t xml:space="preserve">—</w:t>
            </w:r>
          </w:p>
        </w:tc>
      </w:tr>
    </w:tbl>
    <w:p>
      <w:pPr>
        <w:pStyle w:val="BodyText"/>
      </w:pPr>
      <w:r>
        <w:t xml:space="preserve">†The corpus’s own pooled multi-strain</w:t>
      </w:r>
      <w:r>
        <w:t xml:space="preserve"> </w:t>
      </w:r>
      <w:r>
        <w:rPr>
          <w:iCs/>
          <w:i/>
        </w:rPr>
        <w:t xml:space="preserve">E. coli</w:t>
      </w:r>
      <w:r>
        <w:t xml:space="preserve"> </w:t>
      </w:r>
      <w:r>
        <w:t xml:space="preserve">set, which is why its exact-match rate is so high.</w:t>
      </w:r>
    </w:p>
    <w:bookmarkEnd w:id="54"/>
    <w:bookmarkStart w:id="55" w:name="figure-captions"/>
    <w:p>
      <w:pPr>
        <w:pStyle w:val="Heading2"/>
      </w:pPr>
      <w:r>
        <w:t xml:space="preserve">Figure captions</w:t>
      </w:r>
    </w:p>
    <w:p>
      <w:pPr>
        <w:pStyle w:val="FirstParagraph"/>
      </w:pPr>
      <w:r>
        <w:rPr>
          <w:bCs/>
          <w:b/>
        </w:rPr>
        <w:t xml:space="preserve">Fig. 1.</w:t>
      </w:r>
      <w:r>
        <w:t xml:space="preserve"> </w:t>
      </w:r>
      <w:r>
        <w:t xml:space="preserve">Species-level splitting does not prevent homology leakage. (a) Distribution of identity between each held-out test protein and its nearest same-gene training protein; the dashed line marks the 70% threshold used for the identity-controlled benchmark of Section 3.5. (b) Cumulative fractions; the hatched bar denotes test proteins with an exactly identical protein sequence in training.</w:t>
      </w:r>
    </w:p>
    <w:p>
      <w:pPr>
        <w:pStyle w:val="BodyText"/>
      </w:pPr>
      <w:r>
        <w:rPr>
          <w:bCs/>
          <w:b/>
        </w:rPr>
        <w:t xml:space="preserve">Fig. 2.</w:t>
      </w:r>
      <w:r>
        <w:t xml:space="preserve"> </w:t>
      </w:r>
      <w:r>
        <w:t xml:space="preserve">Performance by homology to the training set, with species-level bootstrap 95% intervals. Ortholog-copy’s advantage is confined to the ≥80% identity regime and grows with identity; below 80% the intervals overlap and no method separates. That low-identity regime holds 4% of the standard test set. Lower panel: stratum sizes.</w:t>
      </w:r>
    </w:p>
    <w:p>
      <w:pPr>
        <w:pStyle w:val="BodyText"/>
      </w:pPr>
      <w:r>
        <w:rPr>
          <w:bCs/>
          <w:b/>
        </w:rPr>
        <w:t xml:space="preserve">Fig. 3.</w:t>
      </w:r>
      <w:r>
        <w:t xml:space="preserve"> </w:t>
      </w:r>
      <w:r>
        <w:t xml:space="preserve">Attainable benchmark difficulty is gene-dependent. (a) Clusters at 70% identity (log scale); fewer clusters indicate stronger conservation. (b) Test sequences surviving exact enforcement of the ≤70% identity bound. Hatched bars mark the four genes that retain none.</w:t>
      </w:r>
    </w:p>
    <w:p>
      <w:pPr>
        <w:pStyle w:val="BodyText"/>
      </w:pPr>
      <w:r>
        <w:rPr>
          <w:bCs/>
          <w:b/>
        </w:rPr>
        <w:t xml:space="preserve">Fig. 4.</w:t>
      </w:r>
      <w:r>
        <w:t xml:space="preserve"> </w:t>
      </w:r>
      <w:r>
        <w:t xml:space="preserve">Per-gene BLEU-4 difference between the trained model and the ortholog-copy baseline on the identity-controlled benchmark. Unconditioned, the model wins on 7 of 9 genes but loses decisively on ND6 (hatched), the sole light-strand gene, which reverses the pooled result. With the strand bit it wins on 8 of 9 and ND6’s deficit falls by 43%.</w:t>
      </w:r>
    </w:p>
    <w:p>
      <w:pPr>
        <w:pStyle w:val="BodyText"/>
      </w:pPr>
      <w:r>
        <w:rPr>
          <w:bCs/>
          <w:b/>
        </w:rPr>
        <w:t xml:space="preserve">Fig. 5.</w:t>
      </w:r>
      <w:r>
        <w:t xml:space="preserve"> </w:t>
      </w:r>
      <w:r>
        <w:t xml:space="preserve">Strand-asymmetry blindness. (a) GC skew by gene in the training corpus: ND6 alone is positive, the signature of the light strand. (b) Generated versus natural GC skew. The unconditioned model collapses ND6 skew to approximately zero — the wrong sign — while ortholog-copying reproduces it implicitly; supplying one strand bit restores the correct sign and reduces the over-shoot on heavy-strand genes, though ND6 is only partially corrected.</w:t>
      </w:r>
    </w:p>
    <w:p>
      <w:pPr>
        <w:pStyle w:val="BodyText"/>
      </w:pPr>
      <w:r>
        <w:rPr>
          <w:bCs/>
          <w:b/>
        </w:rPr>
        <w:t xml:space="preserve">Fig. 6.</w:t>
      </w:r>
      <w:r>
        <w:t xml:space="preserve"> </w:t>
      </w:r>
      <w:r>
        <w:t xml:space="preserve">Ortholog-copy performance tracks corpus redundancy across the CodonTransformer corpus. Each point is one organism; the horizontal axis is the median identity of a held-out protein to its nearest training protein, the vertical axis the BLEU-4 of copying that neighbour’s codons. The vertebrate mitochondrial corpus of this paper (square) sits below the nuclear-genome trend at comparable identity, because its synonymous sites are near saturation.</w:t>
      </w:r>
    </w:p>
    <w:p>
      <w:pPr>
        <w:pStyle w:val="BodyText"/>
      </w:pPr>
      <w:r>
        <w:rPr>
          <w:iCs/>
          <w:i/>
        </w:rPr>
        <w:t xml:space="preserve">Figures are supplied as separate high-resolution files, regenerated from the released JSON artefacts via the scripts in the public repository.</w:t>
      </w:r>
    </w:p>
    <w:bookmarkEnd w:id="55"/>
    <w:sectPr w:rsidR="00FC693F" w:rsidRPr="0006063C" w:rsidSect="00034616">
      <w:pgSz w:h="15840" w:w="12240"/>
      <w:pgMar w:bottom="1701" w:footer="720" w:gutter="0" w:header="720" w:left="1701" w:right="1701"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480" w:lineRule="auto"/>
      <w:jc w:val="left"/>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Homology leakage dominates codon-optimization benchmarks: a training-free retrieval baseline, an identity-controlled evaluation, and a strand-asymmetry failure mode</dc:title>
  <dc:creator>Bonthada Sravan Kumar</dc:creator>
  <cp:keywords/>
  <dcterms:created xsi:type="dcterms:W3CDTF">2026-10-22T06:20:51Z</dcterms:created>
  <dcterms:modified xsi:type="dcterms:W3CDTF">2026-10-22T06:20:51Z</dcterms:modified>
</cp:coreProperties>
</file>

<file path=docProps/custom.xml><?xml version="1.0" encoding="utf-8"?>
<Properties xmlns="http://schemas.openxmlformats.org/officeDocument/2006/custom-properties" xmlns:vt="http://schemas.openxmlformats.org/officeDocument/2006/docPropsVTypes"/>
</file>