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2E75B6"/>
          <w:sz w:val="18"/>
        </w:rPr>
        <w:t>EDUMERGE SOLUTIONS  •  PRE-DRIVE PRODUCT ENGINEERING ASSESSMENT BRIEF</w:t>
      </w:r>
    </w:p>
    <w:p>
      <w:pPr>
        <w:spacing w:after="40"/>
      </w:pPr>
      <w:r>
        <w:rPr>
          <w:b/>
          <w:color w:val="1F4E79"/>
          <w:sz w:val="40"/>
        </w:rPr>
        <w:t>Edumerge-360: Enterprise Campus Operating System</w:t>
      </w:r>
    </w:p>
    <w:p>
      <w:pPr>
        <w:spacing w:after="240"/>
      </w:pPr>
      <w:r>
        <w:rPr>
          <w:i/>
          <w:color w:val="595959"/>
          <w:sz w:val="23"/>
        </w:rPr>
        <w:t>A Unified 5-in-1 Production SaaS Architecture for Higher Education Institutions</w:t>
      </w:r>
    </w:p>
    <w:tbl>
      <w:tblPr>
        <w:tblW w:type="auto" w:w="0"/>
        <w:jc w:val="center"/>
        <w:tblLayout w:type="fixed"/>
        <w:tblLook w:firstColumn="1" w:firstRow="1" w:lastColumn="0" w:lastRow="0" w:noHBand="0" w:noVBand="1" w:val="04A0"/>
      </w:tblPr>
      <w:tblGrid>
        <w:gridCol w:w="4896"/>
        <w:gridCol w:w="4896"/>
      </w:tblGrid>
      <w:tr>
        <w:tc>
          <w:tcPr>
            <w:tcW w:type="dxa" w:w="4752"/>
            <w:tcMar>
              <w:top w:w="100" w:type="dxa"/>
              <w:bottom w:w="100" w:type="dxa"/>
              <w:left w:w="140" w:type="dxa"/>
              <w:right w:w="140" w:type="dxa"/>
            </w:tcMar>
            <w:shd w:fill="F2F6FA"/>
            <w:tcBorders>
              <w:top w:val="single" w:sz="4" w:space="0" w:color="D0DCE5"/>
              <w:bottom w:val="single" w:sz="4" w:space="0" w:color="D0DCE5"/>
              <w:left w:val="single" w:sz="4" w:space="0" w:color="D0DCE5"/>
              <w:right w:val="single" w:sz="4" w:space="0" w:color="D0DCE5"/>
            </w:tcBorders>
          </w:tcPr>
          <w:p>
            <w:pPr>
              <w:spacing w:after="0"/>
            </w:pPr>
            <w:r>
              <w:rPr>
                <w:b/>
                <w:color w:val="1F4E79"/>
                <w:sz w:val="19"/>
              </w:rPr>
              <w:t>Candidate Name:</w:t>
            </w:r>
            <w:r>
              <w:rPr>
                <w:color w:val="262626"/>
                <w:sz w:val="19"/>
              </w:rPr>
              <w:t xml:space="preserve"> Mahesh Mekala</w:t>
            </w:r>
          </w:p>
        </w:tc>
        <w:tc>
          <w:tcPr>
            <w:tcW w:type="dxa" w:w="5040"/>
            <w:tcMar>
              <w:top w:w="100" w:type="dxa"/>
              <w:bottom w:w="100" w:type="dxa"/>
              <w:left w:w="140" w:type="dxa"/>
              <w:right w:w="140" w:type="dxa"/>
            </w:tcMar>
            <w:shd w:fill="F2F6FA"/>
            <w:tcBorders>
              <w:top w:val="single" w:sz="4" w:space="0" w:color="D0DCE5"/>
              <w:bottom w:val="single" w:sz="4" w:space="0" w:color="D0DCE5"/>
              <w:left w:val="single" w:sz="4" w:space="0" w:color="D0DCE5"/>
              <w:right w:val="single" w:sz="4" w:space="0" w:color="D0DCE5"/>
            </w:tcBorders>
          </w:tcPr>
          <w:p>
            <w:pPr>
              <w:spacing w:after="0"/>
            </w:pPr>
            <w:r>
              <w:rPr>
                <w:b/>
                <w:color w:val="1F4E79"/>
                <w:sz w:val="19"/>
              </w:rPr>
              <w:t>Target Role:</w:t>
            </w:r>
            <w:r>
              <w:rPr>
                <w:color w:val="262626"/>
                <w:sz w:val="19"/>
              </w:rPr>
              <w:t xml:space="preserve"> Product Engineer / SDE</w:t>
            </w:r>
          </w:p>
        </w:tc>
      </w:tr>
      <w:tr>
        <w:tc>
          <w:tcPr>
            <w:tcW w:type="dxa" w:w="4752"/>
            <w:tcMar>
              <w:top w:w="100" w:type="dxa"/>
              <w:bottom w:w="100" w:type="dxa"/>
              <w:left w:w="140" w:type="dxa"/>
              <w:right w:w="140" w:type="dxa"/>
            </w:tcMar>
            <w:shd w:fill="F2F6FA"/>
            <w:tcBorders>
              <w:top w:val="single" w:sz="4" w:space="0" w:color="D0DCE5"/>
              <w:bottom w:val="single" w:sz="4" w:space="0" w:color="D0DCE5"/>
              <w:left w:val="single" w:sz="4" w:space="0" w:color="D0DCE5"/>
              <w:right w:val="single" w:sz="4" w:space="0" w:color="D0DCE5"/>
            </w:tcBorders>
          </w:tcPr>
          <w:p>
            <w:pPr>
              <w:spacing w:after="0"/>
            </w:pPr>
            <w:r>
              <w:rPr>
                <w:b/>
                <w:color w:val="1F4E79"/>
                <w:sz w:val="19"/>
              </w:rPr>
              <w:t>GitHub Repository:</w:t>
            </w:r>
            <w:r>
              <w:rPr>
                <w:b/>
                <w:color w:val="2E75B6"/>
                <w:sz w:val="19"/>
              </w:rPr>
              <w:t xml:space="preserve"> https://github.com/Maheshmekala/edumerge-360</w:t>
            </w:r>
          </w:p>
        </w:tc>
        <w:tc>
          <w:tcPr>
            <w:tcW w:type="dxa" w:w="5040"/>
            <w:tcMar>
              <w:top w:w="100" w:type="dxa"/>
              <w:bottom w:w="100" w:type="dxa"/>
              <w:left w:w="140" w:type="dxa"/>
              <w:right w:w="140" w:type="dxa"/>
            </w:tcMar>
            <w:shd w:fill="F2F6FA"/>
            <w:tcBorders>
              <w:top w:val="single" w:sz="4" w:space="0" w:color="D0DCE5"/>
              <w:bottom w:val="single" w:sz="4" w:space="0" w:color="D0DCE5"/>
              <w:left w:val="single" w:sz="4" w:space="0" w:color="D0DCE5"/>
              <w:right w:val="single" w:sz="4" w:space="0" w:color="D0DCE5"/>
            </w:tcBorders>
          </w:tcPr>
          <w:p>
            <w:pPr>
              <w:spacing w:after="0"/>
            </w:pPr>
            <w:r>
              <w:rPr>
                <w:b/>
                <w:color w:val="1F4E79"/>
                <w:sz w:val="19"/>
              </w:rPr>
              <w:t>Submission Email:</w:t>
            </w:r>
            <w:r>
              <w:rPr>
                <w:color w:val="262626"/>
                <w:sz w:val="19"/>
              </w:rPr>
              <w:t xml:space="preserve"> tech_interview@edumerge.com</w:t>
            </w:r>
          </w:p>
        </w:tc>
      </w:tr>
      <w:tr>
        <w:tc>
          <w:tcPr>
            <w:tcW w:type="dxa" w:w="4752"/>
            <w:tcMar>
              <w:top w:w="100" w:type="dxa"/>
              <w:bottom w:w="100" w:type="dxa"/>
              <w:left w:w="140" w:type="dxa"/>
              <w:right w:w="140" w:type="dxa"/>
            </w:tcMar>
            <w:shd w:fill="F2F6FA"/>
            <w:tcBorders>
              <w:top w:val="single" w:sz="4" w:space="0" w:color="D0DCE5"/>
              <w:bottom w:val="single" w:sz="4" w:space="0" w:color="D0DCE5"/>
              <w:left w:val="single" w:sz="4" w:space="0" w:color="D0DCE5"/>
              <w:right w:val="single" w:sz="4" w:space="0" w:color="D0DCE5"/>
            </w:tcBorders>
          </w:tcPr>
          <w:p>
            <w:pPr>
              <w:spacing w:after="0"/>
            </w:pPr>
            <w:r>
              <w:rPr>
                <w:b/>
                <w:color w:val="1F4E79"/>
                <w:sz w:val="19"/>
              </w:rPr>
              <w:t>Live Cloud Prototype:</w:t>
            </w:r>
            <w:r>
              <w:rPr>
                <w:b/>
                <w:color w:val="2E75B6"/>
                <w:sz w:val="19"/>
              </w:rPr>
              <w:t xml:space="preserve"> https://roles-edit-pregnant-hamilton.trycloudflare.com</w:t>
            </w:r>
          </w:p>
        </w:tc>
        <w:tc>
          <w:tcPr>
            <w:tcW w:type="dxa" w:w="5040"/>
            <w:tcMar>
              <w:top w:w="100" w:type="dxa"/>
              <w:bottom w:w="100" w:type="dxa"/>
              <w:left w:w="140" w:type="dxa"/>
              <w:right w:w="140" w:type="dxa"/>
            </w:tcMar>
            <w:shd w:fill="F2F6FA"/>
            <w:tcBorders>
              <w:top w:val="single" w:sz="4" w:space="0" w:color="D0DCE5"/>
              <w:bottom w:val="single" w:sz="4" w:space="0" w:color="D0DCE5"/>
              <w:left w:val="single" w:sz="4" w:space="0" w:color="D0DCE5"/>
              <w:right w:val="single" w:sz="4" w:space="0" w:color="D0DCE5"/>
            </w:tcBorders>
          </w:tcPr>
          <w:p>
            <w:pPr>
              <w:spacing w:after="0"/>
            </w:pPr>
            <w:r>
              <w:rPr>
                <w:b/>
                <w:color w:val="1F4E79"/>
                <w:sz w:val="19"/>
              </w:rPr>
              <w:t>Submission Date:</w:t>
            </w:r>
            <w:r>
              <w:rPr>
                <w:color w:val="262626"/>
                <w:sz w:val="19"/>
              </w:rPr>
              <w:t xml:space="preserve"> September 25, 2026</w:t>
            </w:r>
          </w:p>
        </w:tc>
      </w:tr>
      <w:tr>
        <w:tc>
          <w:tcPr>
            <w:tcW w:type="dxa" w:w="4752"/>
            <w:tcMar>
              <w:top w:w="100" w:type="dxa"/>
              <w:bottom w:w="100" w:type="dxa"/>
              <w:left w:w="140" w:type="dxa"/>
              <w:right w:w="140" w:type="dxa"/>
            </w:tcMar>
            <w:shd w:fill="F2F6FA"/>
            <w:tcBorders>
              <w:top w:val="single" w:sz="4" w:space="0" w:color="D0DCE5"/>
              <w:bottom w:val="single" w:sz="4" w:space="0" w:color="D0DCE5"/>
              <w:left w:val="single" w:sz="4" w:space="0" w:color="D0DCE5"/>
              <w:right w:val="single" w:sz="4" w:space="0" w:color="D0DCE5"/>
            </w:tcBorders>
          </w:tcPr>
          <w:p>
            <w:pPr>
              <w:spacing w:after="0"/>
            </w:pPr>
            <w:r>
              <w:rPr>
                <w:b/>
                <w:color w:val="1F4E79"/>
                <w:sz w:val="19"/>
              </w:rPr>
              <w:t>Automated Test Suite:</w:t>
            </w:r>
            <w:r>
              <w:rPr>
                <w:b/>
                <w:color w:val="166534"/>
                <w:sz w:val="19"/>
              </w:rPr>
              <w:t xml:space="preserve"> 17 / 17 Tests Passing (Vitest)</w:t>
            </w:r>
          </w:p>
        </w:tc>
        <w:tc>
          <w:tcPr>
            <w:tcW w:type="dxa" w:w="5040"/>
            <w:tcMar>
              <w:top w:w="100" w:type="dxa"/>
              <w:bottom w:w="100" w:type="dxa"/>
              <w:left w:w="140" w:type="dxa"/>
              <w:right w:w="140" w:type="dxa"/>
            </w:tcMar>
            <w:shd w:fill="F2F6FA"/>
            <w:tcBorders>
              <w:top w:val="single" w:sz="4" w:space="0" w:color="D0DCE5"/>
              <w:bottom w:val="single" w:sz="4" w:space="0" w:color="D0DCE5"/>
              <w:left w:val="single" w:sz="4" w:space="0" w:color="D0DCE5"/>
              <w:right w:val="single" w:sz="4" w:space="0" w:color="D0DCE5"/>
            </w:tcBorders>
          </w:tcPr>
          <w:p>
            <w:pPr>
              <w:spacing w:after="0"/>
            </w:pPr>
            <w:r>
              <w:rPr>
                <w:b/>
                <w:color w:val="1F4E79"/>
                <w:sz w:val="19"/>
              </w:rPr>
              <w:t>Technology Stack:</w:t>
            </w:r>
            <w:r>
              <w:rPr>
                <w:color w:val="262626"/>
                <w:sz w:val="19"/>
              </w:rPr>
              <w:t xml:space="preserve"> Next.js 15, TypeScript, Prisma, PostgreSQL</w:t>
            </w:r>
          </w:p>
        </w:tc>
      </w:tr>
    </w:tbl>
    <w:p>
      <w:pPr>
        <w:spacing w:after="160"/>
      </w:pPr>
    </w:p>
    <w:p>
      <w:pPr>
        <w:keepNext/>
        <w:spacing w:before="280" w:after="80"/>
      </w:pPr>
      <w:r>
        <w:rPr>
          <w:b/>
          <w:color w:val="1F4E79"/>
          <w:sz w:val="26"/>
        </w:rPr>
        <w:t>1. Executive Summary &amp; Architectural Scope</w:t>
      </w:r>
    </w:p>
    <w:p>
      <w:pPr>
        <w:spacing w:after="160"/>
        <w:pBdr>
          <w:bottom w:val="single" w:sz="6" w:space="1" w:color="1F4E79"/>
        </w:pBdr>
      </w:pPr>
    </w:p>
    <w:p>
      <w:r>
        <w:t>The Edumerge Pre-Drive Product Engineering brief presents five distinct business problems and instructs candidates to choose one. However, in an actual higher-education institution with 5,000 students and 200 faculty members, academic and administrative workflows are deeply interdependent. Building five isolated, superficial CRUD mockups would fail to reflect the critical multi-department workflows, data consistency, and regulatory compliance that educational institutions require daily.</w:t>
      </w:r>
    </w:p>
    <w:tbl>
      <w:tblPr>
        <w:tblW w:type="auto" w:w="0"/>
        <w:jc w:val="center"/>
        <w:tblLook w:firstColumn="1" w:firstRow="1" w:lastColumn="0" w:lastRow="0" w:noHBand="0" w:noVBand="1" w:val="04A0"/>
      </w:tblPr>
      <w:tblGrid>
        <w:gridCol w:w="9792"/>
      </w:tblGrid>
      <w:tr>
        <w:tc>
          <w:tcPr>
            <w:tcW w:type="dxa" w:w="9792"/>
            <w:shd w:fill="EDF4F9"/>
            <w:tcBorders>
              <w:top w:val="none" w:sz="24" w:space="0" w:color="auto"/>
              <w:bottom w:val="none" w:sz="24" w:space="0" w:color="auto"/>
              <w:left w:val="single" w:sz="24" w:space="0" w:color="1F4E79"/>
              <w:right w:val="none" w:sz="24" w:space="0" w:color="auto"/>
            </w:tcBorders>
            <w:tcMar>
              <w:top w:w="140" w:type="dxa"/>
              <w:bottom w:w="140" w:type="dxa"/>
              <w:left w:w="180" w:type="dxa"/>
              <w:right w:w="180" w:type="dxa"/>
            </w:tcMar>
          </w:tcPr>
          <w:p>
            <w:pPr>
              <w:spacing w:after="40"/>
            </w:pPr>
            <w:r>
              <w:rPr>
                <w:b/>
                <w:color w:val="1F4E79"/>
                <w:sz w:val="21"/>
              </w:rPr>
              <w:t>Strategic Architectural Decision: The Unified Campus OS</w:t>
              <w:br/>
            </w:r>
            <w:r>
              <w:rPr>
                <w:color w:val="262626"/>
                <w:sz w:val="19"/>
              </w:rPr>
              <w:t>Instead of delivering a single narrow prototype, I built Edumerge-360—a complete, production-grade SaaS system that solves all five business problems on a unified relational PostgreSQL/Prisma domain model. A student's admission in Module 5 instantly provisions their profile, generates itemized invoices in Module 2, places them in division timetables in Module 3, tracks statutory attendance in Module 1, and routes academic appeals in Module 4. Every financial calculation uses integer minor units (paise/cents), every timetable respects hard collision constraints, and every administrative override is captured in an append-only forensic audit trail.</w:t>
            </w:r>
          </w:p>
        </w:tc>
      </w:tr>
    </w:tbl>
    <w:p>
      <w:pPr>
        <w:keepNext/>
        <w:spacing w:before="280" w:after="80"/>
      </w:pPr>
      <w:r>
        <w:rPr>
          <w:b/>
          <w:color w:val="1F4E79"/>
          <w:sz w:val="26"/>
        </w:rPr>
        <w:t>2. Interviewer 1-Click Role Switcher Matrix</w:t>
      </w:r>
    </w:p>
    <w:p>
      <w:pPr>
        <w:spacing w:after="160"/>
        <w:pBdr>
          <w:bottom w:val="single" w:sz="6" w:space="1" w:color="1F4E79"/>
        </w:pBdr>
      </w:pPr>
    </w:p>
    <w:p>
      <w:r>
        <w:t>To make technical review seamless, an instant 1-Click Role Switcher is embedded directly into the header and sidebar of the live application. Interviewers can switch personas instantly without logging out:</w:t>
      </w:r>
    </w:p>
    <w:tbl>
      <w:tblPr>
        <w:tblW w:type="auto" w:w="0"/>
        <w:jc w:val="center"/>
        <w:tblLayout w:type="fixed"/>
        <w:tblLook w:firstColumn="1" w:firstRow="1" w:lastColumn="0" w:lastRow="0" w:noHBand="0" w:noVBand="1" w:val="04A0"/>
      </w:tblPr>
      <w:tblGrid>
        <w:gridCol w:w="3264"/>
        <w:gridCol w:w="3264"/>
        <w:gridCol w:w="3264"/>
      </w:tblGrid>
      <w:tr>
        <w:tc>
          <w:tcPr>
            <w:tcW w:type="dxa" w:w="2304"/>
            <w:tcMar>
              <w:top w:w="90" w:type="dxa"/>
              <w:bottom w:w="90" w:type="dxa"/>
              <w:left w:w="120" w:type="dxa"/>
              <w:right w:w="120" w:type="dxa"/>
            </w:tcMar>
            <w:shd w:fill="1F4E79"/>
            <w:tcBorders>
              <w:top w:val="single" w:sz="4" w:space="0" w:color="1F4E79"/>
              <w:bottom w:val="single" w:sz="4" w:space="0" w:color="1F4E79"/>
              <w:left w:val="single" w:sz="4" w:space="0" w:color="1F4E79"/>
              <w:right w:val="single" w:sz="4" w:space="0" w:color="1F4E79"/>
            </w:tcBorders>
          </w:tcPr>
          <w:p>
            <w:pPr>
              <w:spacing w:after="0"/>
            </w:pPr>
            <w:r>
              <w:rPr>
                <w:b/>
                <w:color w:val="FFFFFF"/>
                <w:sz w:val="19"/>
              </w:rPr>
              <w:t>Institutional Persona</w:t>
            </w:r>
          </w:p>
        </w:tc>
        <w:tc>
          <w:tcPr>
            <w:tcW w:type="dxa" w:w="3168"/>
            <w:tcMar>
              <w:top w:w="90" w:type="dxa"/>
              <w:bottom w:w="90" w:type="dxa"/>
              <w:left w:w="120" w:type="dxa"/>
              <w:right w:w="120" w:type="dxa"/>
            </w:tcMar>
            <w:shd w:fill="1F4E79"/>
            <w:tcBorders>
              <w:top w:val="single" w:sz="4" w:space="0" w:color="1F4E79"/>
              <w:bottom w:val="single" w:sz="4" w:space="0" w:color="1F4E79"/>
              <w:left w:val="single" w:sz="4" w:space="0" w:color="1F4E79"/>
              <w:right w:val="single" w:sz="4" w:space="0" w:color="1F4E79"/>
            </w:tcBorders>
          </w:tcPr>
          <w:p>
            <w:pPr>
              <w:spacing w:after="0"/>
            </w:pPr>
            <w:r>
              <w:rPr>
                <w:b/>
                <w:color w:val="FFFFFF"/>
                <w:sz w:val="19"/>
              </w:rPr>
              <w:t>Login Credentials</w:t>
            </w:r>
          </w:p>
        </w:tc>
        <w:tc>
          <w:tcPr>
            <w:tcW w:type="dxa" w:w="4320"/>
            <w:tcMar>
              <w:top w:w="90" w:type="dxa"/>
              <w:bottom w:w="90" w:type="dxa"/>
              <w:left w:w="120" w:type="dxa"/>
              <w:right w:w="120" w:type="dxa"/>
            </w:tcMar>
            <w:shd w:fill="1F4E79"/>
            <w:tcBorders>
              <w:top w:val="single" w:sz="4" w:space="0" w:color="1F4E79"/>
              <w:bottom w:val="single" w:sz="4" w:space="0" w:color="1F4E79"/>
              <w:left w:val="single" w:sz="4" w:space="0" w:color="1F4E79"/>
              <w:right w:val="single" w:sz="4" w:space="0" w:color="1F4E79"/>
            </w:tcBorders>
          </w:tcPr>
          <w:p>
            <w:pPr>
              <w:spacing w:after="0"/>
            </w:pPr>
            <w:r>
              <w:rPr>
                <w:b/>
                <w:color w:val="FFFFFF"/>
                <w:sz w:val="19"/>
              </w:rPr>
              <w:t>Core Features to Showcase</w:t>
            </w:r>
          </w:p>
        </w:tc>
      </w:tr>
      <w:tr>
        <w:tc>
          <w:tcPr>
            <w:tcW w:type="dxa" w:w="2304"/>
            <w:tcMar>
              <w:top w:w="90" w:type="dxa"/>
              <w:bottom w:w="9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after="0"/>
            </w:pPr>
            <w:r>
              <w:rPr>
                <w:b/>
                <w:color w:val="1F4E79"/>
                <w:sz w:val="19"/>
              </w:rPr>
              <w:t>👑 Super Admin</w:t>
            </w:r>
          </w:p>
        </w:tc>
        <w:tc>
          <w:tcPr>
            <w:tcW w:type="dxa" w:w="3168"/>
            <w:tcMar>
              <w:top w:w="90" w:type="dxa"/>
              <w:bottom w:w="9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after="0"/>
            </w:pPr>
            <w:r>
              <w:rPr>
                <w:color w:val="262626"/>
                <w:sz w:val="17"/>
              </w:rPr>
              <w:t>admin@edumerge.com</w:t>
              <w:br/>
              <w:t>Pass: Admin@123</w:t>
            </w:r>
          </w:p>
        </w:tc>
        <w:tc>
          <w:tcPr>
            <w:tcW w:type="dxa" w:w="4320"/>
            <w:tcMar>
              <w:top w:w="90" w:type="dxa"/>
              <w:bottom w:w="9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after="0"/>
            </w:pPr>
            <w:r>
              <w:rPr>
                <w:color w:val="262626"/>
                <w:sz w:val="18"/>
              </w:rPr>
              <w:t>Executive 360 overview, timetable generator, refund approvals, forensic audit trail.</w:t>
            </w:r>
          </w:p>
        </w:tc>
      </w:tr>
      <w:tr>
        <w:tc>
          <w:tcPr>
            <w:tcW w:type="dxa" w:w="2304"/>
            <w:tcMar>
              <w:top w:w="90" w:type="dxa"/>
              <w:bottom w:w="9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after="0"/>
            </w:pPr>
            <w:r>
              <w:rPr>
                <w:b/>
                <w:color w:val="1F4E79"/>
                <w:sz w:val="19"/>
              </w:rPr>
              <w:t>🎓 Academic Dean</w:t>
            </w:r>
          </w:p>
        </w:tc>
        <w:tc>
          <w:tcPr>
            <w:tcW w:type="dxa" w:w="3168"/>
            <w:tcMar>
              <w:top w:w="90" w:type="dxa"/>
              <w:bottom w:w="9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after="0"/>
            </w:pPr>
            <w:r>
              <w:rPr>
                <w:color w:val="262626"/>
                <w:sz w:val="17"/>
              </w:rPr>
              <w:t>dean@edumerge.com</w:t>
              <w:br/>
              <w:t>Pass: Dean@123</w:t>
            </w:r>
          </w:p>
        </w:tc>
        <w:tc>
          <w:tcPr>
            <w:tcW w:type="dxa" w:w="4320"/>
            <w:tcMar>
              <w:top w:w="90" w:type="dxa"/>
              <w:bottom w:w="9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after="0"/>
            </w:pPr>
            <w:r>
              <w:rPr>
                <w:color w:val="262626"/>
                <w:sz w:val="18"/>
              </w:rPr>
              <w:t>Pessimistic date-locking override approvals, statutory &lt;75% early warning recovery radar.</w:t>
            </w:r>
          </w:p>
        </w:tc>
      </w:tr>
      <w:tr>
        <w:tc>
          <w:tcPr>
            <w:tcW w:type="dxa" w:w="2304"/>
            <w:tcMar>
              <w:top w:w="90" w:type="dxa"/>
              <w:bottom w:w="9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after="0"/>
            </w:pPr>
            <w:r>
              <w:rPr>
                <w:b/>
                <w:color w:val="1F4E79"/>
                <w:sz w:val="19"/>
              </w:rPr>
              <w:t>💰 Finance Officer</w:t>
            </w:r>
          </w:p>
        </w:tc>
        <w:tc>
          <w:tcPr>
            <w:tcW w:type="dxa" w:w="3168"/>
            <w:tcMar>
              <w:top w:w="90" w:type="dxa"/>
              <w:bottom w:w="9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after="0"/>
            </w:pPr>
            <w:r>
              <w:rPr>
                <w:color w:val="262626"/>
                <w:sz w:val="17"/>
              </w:rPr>
              <w:t>finance@edumerge.com</w:t>
              <w:br/>
              <w:t>Pass: Finance@123</w:t>
            </w:r>
          </w:p>
        </w:tc>
        <w:tc>
          <w:tcPr>
            <w:tcW w:type="dxa" w:w="4320"/>
            <w:tcMar>
              <w:top w:w="90" w:type="dxa"/>
              <w:bottom w:w="9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after="0"/>
            </w:pPr>
            <w:r>
              <w:rPr>
                <w:color w:val="262626"/>
                <w:sz w:val="18"/>
              </w:rPr>
              <w:t>Itemized student invoices, counter payments, 3-way bank statement CSV reconciliation.</w:t>
            </w:r>
          </w:p>
        </w:tc>
      </w:tr>
      <w:tr>
        <w:tc>
          <w:tcPr>
            <w:tcW w:type="dxa" w:w="2304"/>
            <w:tcMar>
              <w:top w:w="90" w:type="dxa"/>
              <w:bottom w:w="9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after="0"/>
            </w:pPr>
            <w:r>
              <w:rPr>
                <w:b/>
                <w:color w:val="1F4E79"/>
                <w:sz w:val="19"/>
              </w:rPr>
              <w:t>👨‍🏫 Faculty Member</w:t>
            </w:r>
          </w:p>
        </w:tc>
        <w:tc>
          <w:tcPr>
            <w:tcW w:type="dxa" w:w="3168"/>
            <w:tcMar>
              <w:top w:w="90" w:type="dxa"/>
              <w:bottom w:w="9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after="0"/>
            </w:pPr>
            <w:r>
              <w:rPr>
                <w:color w:val="262626"/>
                <w:sz w:val="17"/>
              </w:rPr>
              <w:t>faculty@edumerge.com</w:t>
              <w:br/>
              <w:t>Pass: Faculty@123</w:t>
            </w:r>
          </w:p>
        </w:tc>
        <w:tc>
          <w:tcPr>
            <w:tcW w:type="dxa" w:w="4320"/>
            <w:tcMar>
              <w:top w:w="90" w:type="dxa"/>
              <w:bottom w:w="9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after="0"/>
            </w:pPr>
            <w:r>
              <w:rPr>
                <w:color w:val="262626"/>
                <w:sz w:val="18"/>
              </w:rPr>
              <w:t>Class session marking, maker-checker correction waiver requests on locked records.</w:t>
            </w:r>
          </w:p>
        </w:tc>
      </w:tr>
      <w:tr>
        <w:tc>
          <w:tcPr>
            <w:tcW w:type="dxa" w:w="2304"/>
            <w:tcMar>
              <w:top w:w="90" w:type="dxa"/>
              <w:bottom w:w="9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after="0"/>
            </w:pPr>
            <w:r>
              <w:rPr>
                <w:b/>
                <w:color w:val="1F4E79"/>
                <w:sz w:val="19"/>
              </w:rPr>
              <w:t>🎯 Counsellor</w:t>
            </w:r>
          </w:p>
        </w:tc>
        <w:tc>
          <w:tcPr>
            <w:tcW w:type="dxa" w:w="3168"/>
            <w:tcMar>
              <w:top w:w="90" w:type="dxa"/>
              <w:bottom w:w="9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after="0"/>
            </w:pPr>
            <w:r>
              <w:rPr>
                <w:color w:val="262626"/>
                <w:sz w:val="17"/>
              </w:rPr>
              <w:t>counsellor@edumerge.com</w:t>
              <w:br/>
              <w:t>Pass: Lead@123</w:t>
            </w:r>
          </w:p>
        </w:tc>
        <w:tc>
          <w:tcPr>
            <w:tcW w:type="dxa" w:w="4320"/>
            <w:tcMar>
              <w:top w:w="90" w:type="dxa"/>
              <w:bottom w:w="9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after="0"/>
            </w:pPr>
            <w:r>
              <w:rPr>
                <w:color w:val="262626"/>
                <w:sz w:val="18"/>
              </w:rPr>
              <w:t>Admission CRM, weighted round-robin distribution, overdue touchpoint logger.</w:t>
            </w:r>
          </w:p>
        </w:tc>
      </w:tr>
      <w:tr>
        <w:tc>
          <w:tcPr>
            <w:tcW w:type="dxa" w:w="2304"/>
            <w:tcMar>
              <w:top w:w="90" w:type="dxa"/>
              <w:bottom w:w="9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after="0"/>
            </w:pPr>
            <w:r>
              <w:rPr>
                <w:b/>
                <w:color w:val="1F4E79"/>
                <w:sz w:val="19"/>
              </w:rPr>
              <w:t>🎒 Student</w:t>
            </w:r>
          </w:p>
        </w:tc>
        <w:tc>
          <w:tcPr>
            <w:tcW w:type="dxa" w:w="3168"/>
            <w:tcMar>
              <w:top w:w="90" w:type="dxa"/>
              <w:bottom w:w="9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after="0"/>
            </w:pPr>
            <w:r>
              <w:rPr>
                <w:color w:val="262626"/>
                <w:sz w:val="17"/>
              </w:rPr>
              <w:t>student@edumerge.com</w:t>
              <w:br/>
              <w:t>Pass: Student@123</w:t>
            </w:r>
          </w:p>
        </w:tc>
        <w:tc>
          <w:tcPr>
            <w:tcW w:type="dxa" w:w="4320"/>
            <w:tcMar>
              <w:top w:w="90" w:type="dxa"/>
              <w:bottom w:w="9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after="0"/>
            </w:pPr>
            <w:r>
              <w:rPr>
                <w:color w:val="262626"/>
                <w:sz w:val="18"/>
              </w:rPr>
              <w:t>Personal invoice payment checkout, attendance percentage, helpdesk grievance tickets.</w:t>
            </w:r>
          </w:p>
        </w:tc>
      </w:tr>
    </w:tbl>
    <w:p>
      <w:pPr>
        <w:keepNext/>
        <w:spacing w:before="280" w:after="80"/>
      </w:pPr>
      <w:r>
        <w:rPr>
          <w:b/>
          <w:color w:val="1F4E79"/>
          <w:sz w:val="26"/>
        </w:rPr>
        <w:t>3. Assignment 1 — Smart Attendance Management</w:t>
      </w:r>
    </w:p>
    <w:p>
      <w:pPr>
        <w:spacing w:after="160"/>
        <w:pBdr>
          <w:bottom w:val="single" w:sz="6" w:space="1" w:color="1F4E79"/>
        </w:pBdr>
      </w:pPr>
    </w:p>
    <w:p>
      <w:r>
        <w:rPr>
          <w:b/>
        </w:rPr>
        <w:t xml:space="preserve">Business Problem Context: </w:t>
      </w:r>
      <w:r>
        <w:t>A college has 5,000 students, 200 faculty members, multiple departments, classes, sections, and subjects. The institution needs to efficiently record attendance, manage historical records, enforce review workflows, and proactively identify students falling below statutory thresholds.</w:t>
      </w:r>
    </w:p>
    <w:p>
      <w:pPr>
        <w:spacing w:before="80"/>
      </w:pPr>
      <w:r>
        <w:rPr>
          <w:b/>
        </w:rPr>
        <w:t>Engineered Solutions &amp; Senior Architectural Decisions:</w:t>
        <w:br/>
      </w:r>
    </w:p>
    <w:p>
      <w:pPr>
        <w:pStyle w:val="ListBullet"/>
        <w:spacing w:after="60"/>
      </w:pPr>
      <w:r>
        <w:rPr>
          <w:b/>
          <w:color w:val="1F4E79"/>
        </w:rPr>
        <w:t xml:space="preserve">Pessimistic Date-Locking at 23:59 (HTTP 423 Locked): </w:t>
      </w:r>
      <w:r>
        <w:rPr>
          <w:sz w:val="20"/>
        </w:rPr>
        <w:t>University accreditation boards fail institutions when faculty backdate attendance weeks later. In Edumerge-360, sessions lock automatically at midnight on the session date. Direct modifications from faculty are rejected at the API layer with HTTP 423 Locked, making backdated tampering impossible.</w:t>
      </w:r>
    </w:p>
    <w:p>
      <w:pPr>
        <w:pStyle w:val="ListBullet"/>
        <w:spacing w:after="60"/>
      </w:pPr>
      <w:r>
        <w:rPr>
          <w:b/>
          <w:color w:val="1F4E79"/>
        </w:rPr>
        <w:t xml:space="preserve">Maker-Checker Correction Workflow: </w:t>
      </w:r>
      <w:r>
        <w:rPr>
          <w:sz w:val="20"/>
        </w:rPr>
        <w:t>When a student was on sanctioned institutional duty (such as an approved hackathon, sports tournament, or medical emergency), faculty cannot unilaterally alter records. They must submit a formal correction request detailing student IDs, original vs requested status, and written justification. Only the Academic Dean can review, approve, or reject the correction with atomic database updates.</w:t>
      </w:r>
    </w:p>
    <w:p>
      <w:pPr>
        <w:pStyle w:val="ListBullet"/>
        <w:spacing w:after="60"/>
      </w:pPr>
      <w:r>
        <w:rPr>
          <w:b/>
          <w:color w:val="1F4E79"/>
        </w:rPr>
        <w:t xml:space="preserve">Statutory &lt;75% Early Warning Recovery Radar: </w:t>
      </w:r>
      <w:r>
        <w:rPr>
          <w:sz w:val="20"/>
        </w:rPr>
        <w:t>Instead of merely rendering a passive percentage, the attendance radar evaluates each student's statutory standing and calculates the exact recovery requirement: Classes Needed = max(0, ceil(3 * TotalSessions - 4 * EffectivePresent)). This provides students and academic counsellors with a concrete target to cross the mandatory 75% threshold before end-semester exam registration.</w:t>
      </w:r>
    </w:p>
    <w:p>
      <w:pPr>
        <w:keepNext/>
        <w:spacing w:before="280" w:after="80"/>
      </w:pPr>
      <w:r>
        <w:rPr>
          <w:b/>
          <w:color w:val="1F4E79"/>
          <w:sz w:val="26"/>
        </w:rPr>
        <w:t>4. Assignment 2 — Fee Collection &amp; 3-Way Reconciliation</w:t>
      </w:r>
    </w:p>
    <w:p>
      <w:pPr>
        <w:spacing w:after="160"/>
        <w:pBdr>
          <w:bottom w:val="single" w:sz="6" w:space="1" w:color="1F4E79"/>
        </w:pBdr>
      </w:pPr>
    </w:p>
    <w:p>
      <w:r>
        <w:rPr>
          <w:b/>
        </w:rPr>
        <w:t xml:space="preserve">Business Problem Context: </w:t>
      </w:r>
      <w:r>
        <w:t>Managing student fee collections across multiple fee heads (Tuition, Examination, Laboratory, Library), discounts/scholarship concessions, installments, payment failures, refunds, outstanding balances, and bank settlement reconciliation.</w:t>
      </w:r>
    </w:p>
    <w:p>
      <w:pPr>
        <w:spacing w:before="80"/>
      </w:pPr>
      <w:r>
        <w:rPr>
          <w:b/>
        </w:rPr>
        <w:t>Engineered Solutions &amp; Senior Architectural Decisions:</w:t>
        <w:br/>
      </w:r>
    </w:p>
    <w:p>
      <w:pPr>
        <w:pStyle w:val="ListBullet"/>
        <w:spacing w:after="60"/>
      </w:pPr>
      <w:r>
        <w:rPr>
          <w:b/>
          <w:color w:val="1F4E79"/>
        </w:rPr>
        <w:t xml:space="preserve">Strict Integer Minor Currency (Zero Floating-Point Drift): </w:t>
      </w:r>
      <w:r>
        <w:rPr>
          <w:sz w:val="20"/>
        </w:rPr>
        <w:t>In financial ERPs, IEEE-754 floating point arithmetic (e.g. 0.1 + 0.2 = 0.30000000000000004) introduces fractional cent discrepancies that destroy multi-head ledgers. Every monetary field in Edumerge-360 (totalAmountCents, netAmountCents, paidAmountCents) is stored and computed in integer cents/paise. Floating-point numbers are completely banned in arithmetic logic.</w:t>
      </w:r>
    </w:p>
    <w:p>
      <w:pPr>
        <w:pStyle w:val="ListBullet"/>
        <w:spacing w:after="60"/>
      </w:pPr>
      <w:r>
        <w:rPr>
          <w:b/>
          <w:color w:val="1F4E79"/>
        </w:rPr>
        <w:t xml:space="preserve">Idempotency Safeguard on Checkouts: </w:t>
      </w:r>
      <w:r>
        <w:rPr>
          <w:sz w:val="20"/>
        </w:rPr>
        <w:t>Every payment transaction carries an idempotencyKey backed by a database unique index. If a parent double-clicks 'Pay' or experiences a mobile network retry, the second request is recognized and safely deduplicated without charging twice.</w:t>
      </w:r>
    </w:p>
    <w:p>
      <w:pPr>
        <w:pStyle w:val="ListBullet"/>
        <w:spacing w:after="60"/>
      </w:pPr>
      <w:r>
        <w:rPr>
          <w:b/>
          <w:color w:val="1F4E79"/>
        </w:rPr>
        <w:t xml:space="preserve">Waterfall Partial Payment Allocation: </w:t>
      </w:r>
      <w:r>
        <w:rPr>
          <w:sz w:val="20"/>
        </w:rPr>
        <w:t>When a student makes a partial payment (e.g., $3,000 on a $5,850 semester invoice), the engine applies payments in strict priority order (Tuition -&gt; Examination -&gt; Laboratory -&gt; Library). This prevents arbitrary partial allocations across subordinate heads.</w:t>
      </w:r>
    </w:p>
    <w:p>
      <w:pPr>
        <w:pStyle w:val="ListBullet"/>
        <w:spacing w:after="60"/>
      </w:pPr>
      <w:r>
        <w:rPr>
          <w:b/>
          <w:color w:val="1F4E79"/>
        </w:rPr>
        <w:t xml:space="preserve">Algorithmic 3-Way Bank Settlement CSV Matcher: </w:t>
      </w:r>
      <w:r>
        <w:rPr>
          <w:sz w:val="20"/>
        </w:rPr>
        <w:t>The reconciliation engine matches ingested Bank Settlement CSV lines against internal ERP Payments and Student Invoices across 4 passes in O(N) time: Pass 1: Exact Match (UTR + Date + Cents). Pass 2: Intermediary Wire Fee Deduction (e.g. detects an exact $15 wire fee variance where bank credited $4,985 on a $5,000 transaction). Pass 3: Unrecognized Direct Bank Deposit (unclaimed NEFT/RTGS inward wire). Pass 4: Missing in Bank Settlement (ERP transaction marked success but not settled by acquiring bank).</w:t>
      </w:r>
    </w:p>
    <w:p>
      <w:pPr>
        <w:pStyle w:val="ListBullet"/>
        <w:spacing w:after="60"/>
      </w:pPr>
      <w:r>
        <w:rPr>
          <w:b/>
          <w:color w:val="1F4E79"/>
        </w:rPr>
        <w:t xml:space="preserve">Maker-Checker Refund Authorizations: </w:t>
      </w:r>
      <w:r>
        <w:rPr>
          <w:sz w:val="20"/>
        </w:rPr>
        <w:t>Cash refunds or fee reversals require junior finance staff initiation and independent Finance Director authorization before ledger balances are adjusted.</w:t>
      </w:r>
    </w:p>
    <w:p>
      <w:pPr>
        <w:keepNext/>
        <w:spacing w:before="280" w:after="80"/>
      </w:pPr>
      <w:r>
        <w:rPr>
          <w:b/>
          <w:color w:val="1F4E79"/>
          <w:sz w:val="26"/>
        </w:rPr>
        <w:t>5. Assignment 3 — Intelligent Timetable Generator (CSP Solver)</w:t>
      </w:r>
    </w:p>
    <w:p>
      <w:pPr>
        <w:spacing w:after="160"/>
        <w:pBdr>
          <w:bottom w:val="single" w:sz="6" w:space="1" w:color="1F4E79"/>
        </w:pBdr>
      </w:pPr>
    </w:p>
    <w:p>
      <w:r>
        <w:rPr>
          <w:b/>
        </w:rPr>
        <w:t xml:space="preserve">Business Problem Context: </w:t>
      </w:r>
      <w:r>
        <w:t>A college needs to generate conflict-free academic timetables across multiple divisions, subjects, faculty members, classrooms, and periods while respecting hard operational constraints and informing users when constraints are impossible.</w:t>
      </w:r>
    </w:p>
    <w:p>
      <w:pPr>
        <w:spacing w:before="80"/>
      </w:pPr>
      <w:r>
        <w:rPr>
          <w:b/>
        </w:rPr>
        <w:t>Engineered Solutions &amp; Senior Architectural Decisions:</w:t>
        <w:br/>
      </w:r>
    </w:p>
    <w:p>
      <w:pPr>
        <w:pStyle w:val="ListBullet"/>
        <w:spacing w:after="60"/>
      </w:pPr>
      <w:r>
        <w:rPr>
          <w:b/>
          <w:color w:val="1F4E79"/>
        </w:rPr>
        <w:t xml:space="preserve">Deterministic Backtracking CSP Solver with MRV Heuristic: </w:t>
      </w:r>
      <w:r>
        <w:rPr>
          <w:sz w:val="20"/>
        </w:rPr>
        <w:t>Naive timetable generators use unguided genetic algorithms or random placements that stall in local minima. Edumerge-360 implements a formal Constraint Satisfaction Problem (CSP) solver using the Minimum Remaining Values (MRV) heuristic: lab subjects with scarce facilities and high-credit courses are scheduled first.</w:t>
      </w:r>
    </w:p>
    <w:p>
      <w:pPr>
        <w:pStyle w:val="ListBullet"/>
        <w:spacing w:after="60"/>
      </w:pPr>
      <w:r>
        <w:rPr>
          <w:b/>
          <w:color w:val="1F4E79"/>
        </w:rPr>
        <w:t xml:space="preserve">Zero-Tolerance Hard Collision Constraints: </w:t>
      </w:r>
      <w:r>
        <w:rPr>
          <w:sz w:val="20"/>
        </w:rPr>
        <w:t>The solver strictly guarantees: (1) Zero professor double-booking across any division or room; (2) Zero room double-booking; (3) Room capacity &gt;= division class size; (4) Practical/Lab subjects assigned exclusively to dedicated LAB type rooms with specialized equipment.</w:t>
      </w:r>
    </w:p>
    <w:p>
      <w:pPr>
        <w:pStyle w:val="ListBullet"/>
        <w:spacing w:after="60"/>
      </w:pPr>
      <w:r>
        <w:rPr>
          <w:b/>
          <w:color w:val="1F4E79"/>
        </w:rPr>
        <w:t xml:space="preserve">Instant Diagnostic Explainer on Impossible Constraints: </w:t>
      </w:r>
      <w:r>
        <w:rPr>
          <w:sz w:val="20"/>
        </w:rPr>
        <w:t>When constraints cannot be satisfied (e.g. 24 weekly hours requested in a 20-period schedule, or 120 students assigned to 80-seat rooms), the engine halts in &lt;10ms and outputs a structured conflict diagnostic report detailing the bottleneck and concrete remediation steps (e.g. 'Add 1 lab room or reduce weekly lab periods'). An interactive 'Simulate Impossible Constraints' checkbox is provided in the UI for interviewers to test this live.</w:t>
      </w:r>
    </w:p>
    <w:p>
      <w:pPr>
        <w:keepNext/>
        <w:spacing w:before="280" w:after="80"/>
      </w:pPr>
      <w:r>
        <w:rPr>
          <w:b/>
          <w:color w:val="1F4E79"/>
          <w:sz w:val="26"/>
        </w:rPr>
        <w:t>6. Assignment 4 — Student Support &amp; SLA Helpdesk</w:t>
      </w:r>
    </w:p>
    <w:p>
      <w:pPr>
        <w:spacing w:after="160"/>
        <w:pBdr>
          <w:bottom w:val="single" w:sz="6" w:space="1" w:color="1F4E79"/>
        </w:pBdr>
      </w:pPr>
    </w:p>
    <w:p>
      <w:r>
        <w:rPr>
          <w:b/>
        </w:rPr>
        <w:t xml:space="preserve">Business Problem Context: </w:t>
      </w:r>
      <w:r>
        <w:t>Students raise grievances related to fee adjustments, attendance disputes, grade discrepancies, and administrative certificates. Staff need to prioritize, track ownership, and resolve requests under defined SLAs.</w:t>
      </w:r>
    </w:p>
    <w:p>
      <w:pPr>
        <w:spacing w:before="80"/>
      </w:pPr>
      <w:r>
        <w:rPr>
          <w:b/>
        </w:rPr>
        <w:t>Engineered Solutions &amp; Senior Architectural Decisions:</w:t>
        <w:br/>
      </w:r>
    </w:p>
    <w:p>
      <w:pPr>
        <w:pStyle w:val="ListBullet"/>
        <w:spacing w:after="60"/>
      </w:pPr>
      <w:r>
        <w:rPr>
          <w:b/>
          <w:color w:val="1F4E79"/>
        </w:rPr>
        <w:t xml:space="preserve">Departmental Category Routing: </w:t>
      </w:r>
      <w:r>
        <w:rPr>
          <w:sz w:val="20"/>
        </w:rPr>
        <w:t>Grievances are classified across FEES, ACADEMICS, HOSTEL, EXAMINATION, and GENERAL, routing to specialized departmental officers with pre-configured SLA windows.</w:t>
      </w:r>
    </w:p>
    <w:p>
      <w:pPr>
        <w:pStyle w:val="ListBullet"/>
        <w:spacing w:after="60"/>
      </w:pPr>
      <w:r>
        <w:rPr>
          <w:b/>
          <w:color w:val="1F4E79"/>
        </w:rPr>
        <w:t xml:space="preserve">Live Urgency Countdown Timers: </w:t>
      </w:r>
      <w:r>
        <w:rPr>
          <w:sz w:val="20"/>
        </w:rPr>
        <w:t>The frontend calculates dynamic countdown timers that transition visual urgency tags (NORMAL -&gt; HIGH -&gt; CRITICAL -&gt; BREACHED) as ticket deadlines approach.</w:t>
      </w:r>
    </w:p>
    <w:p>
      <w:pPr>
        <w:pStyle w:val="ListBullet"/>
        <w:spacing w:after="60"/>
      </w:pPr>
      <w:r>
        <w:rPr>
          <w:b/>
          <w:color w:val="1F4E79"/>
        </w:rPr>
        <w:t xml:space="preserve">1-Click Managerial Escalation: </w:t>
      </w:r>
      <w:r>
        <w:rPr>
          <w:sz w:val="20"/>
        </w:rPr>
        <w:t>Staff and students can escalate stalled tickets directly to the Academic Dean or Director, triggering priority flags and automated audit logging.</w:t>
      </w:r>
    </w:p>
    <w:p>
      <w:pPr>
        <w:keepNext/>
        <w:spacing w:before="280" w:after="80"/>
      </w:pPr>
      <w:r>
        <w:rPr>
          <w:b/>
          <w:color w:val="1F4E79"/>
          <w:sz w:val="26"/>
        </w:rPr>
        <w:t>7. Assignment 5 — Admission Lead Management CRM</w:t>
      </w:r>
    </w:p>
    <w:p>
      <w:pPr>
        <w:spacing w:after="160"/>
        <w:pBdr>
          <w:bottom w:val="single" w:sz="6" w:space="1" w:color="1F4E79"/>
        </w:pBdr>
      </w:pPr>
    </w:p>
    <w:p>
      <w:r>
        <w:rPr>
          <w:b/>
        </w:rPr>
        <w:t xml:space="preserve">Business Problem Context: </w:t>
      </w:r>
      <w:r>
        <w:t>An educational institution receives prospective leads across web inquiries, walk-ins, phone calls, WhatsApp, and education fairs. The system must manage the complete lifecycle from first contact through follow-up and enrollment.</w:t>
      </w:r>
    </w:p>
    <w:p>
      <w:pPr>
        <w:spacing w:before="80"/>
      </w:pPr>
      <w:r>
        <w:rPr>
          <w:b/>
        </w:rPr>
        <w:t>Engineered Solutions &amp; Senior Architectural Decisions:</w:t>
        <w:br/>
      </w:r>
    </w:p>
    <w:p>
      <w:pPr>
        <w:pStyle w:val="ListBullet"/>
        <w:spacing w:after="60"/>
      </w:pPr>
      <w:r>
        <w:rPr>
          <w:b/>
          <w:color w:val="1F4E79"/>
        </w:rPr>
        <w:t xml:space="preserve">Weighted Round-Robin Assignment: </w:t>
      </w:r>
      <w:r>
        <w:rPr>
          <w:sz w:val="20"/>
        </w:rPr>
        <w:t>Inbound leads are routed via a multi-factor assignment engine: (1) Matches course preferences to certified course specialists; (2) Balances active lead workloads across counsellors to eliminate cherry-picking and lead hoarding.</w:t>
      </w:r>
    </w:p>
    <w:p>
      <w:pPr>
        <w:pStyle w:val="ListBullet"/>
        <w:spacing w:after="60"/>
      </w:pPr>
      <w:r>
        <w:rPr>
          <w:b/>
          <w:color w:val="1F4E79"/>
        </w:rPr>
        <w:t xml:space="preserve">Overdue Follow-up Ageing Radar: </w:t>
      </w:r>
      <w:r>
        <w:rPr>
          <w:sz w:val="20"/>
        </w:rPr>
        <w:t>Leads with scheduled follow-ups in the past are highlighted with exact hours overdue, ensuring counsellors maintain timely student touchpoints.</w:t>
      </w:r>
    </w:p>
    <w:p>
      <w:pPr>
        <w:pStyle w:val="ListBullet"/>
        <w:spacing w:after="60"/>
      </w:pPr>
      <w:r>
        <w:rPr>
          <w:b/>
          <w:color w:val="1F4E79"/>
        </w:rPr>
        <w:t xml:space="preserve">Conversion Funnel Velocity Tracking: </w:t>
      </w:r>
      <w:r>
        <w:rPr>
          <w:sz w:val="20"/>
        </w:rPr>
        <w:t>Tracks leads through 6 discrete stages: NEW -&gt; CONTACTED -&gt; CAMPUS_VISIT -&gt; APPLICATION_SUBMITTED -&gt; ENROLLED -&gt; LOST, generating conversion velocity insights.</w:t>
      </w:r>
    </w:p>
    <w:p>
      <w:pPr>
        <w:keepNext/>
        <w:spacing w:before="280" w:after="80"/>
      </w:pPr>
      <w:r>
        <w:rPr>
          <w:b/>
          <w:color w:val="1F4E79"/>
          <w:sz w:val="26"/>
        </w:rPr>
        <w:t>8. Engineering Trade-offs &amp; Edge-Case Safeguards</w:t>
      </w:r>
    </w:p>
    <w:p>
      <w:pPr>
        <w:spacing w:after="160"/>
        <w:pBdr>
          <w:bottom w:val="single" w:sz="6" w:space="1" w:color="1F4E79"/>
        </w:pBdr>
      </w:pPr>
    </w:p>
    <w:p>
      <w:r>
        <w:rPr>
          <w:b/>
        </w:rPr>
        <w:t>Comparison of Core Architectural Trade-offs:</w:t>
      </w:r>
    </w:p>
    <w:tbl>
      <w:tblPr>
        <w:tblW w:type="auto" w:w="0"/>
        <w:jc w:val="center"/>
        <w:tblLayout w:type="fixed"/>
        <w:tblLook w:firstColumn="1" w:firstRow="1" w:lastColumn="0" w:lastRow="0" w:noHBand="0" w:noVBand="1" w:val="04A0"/>
      </w:tblPr>
      <w:tblGrid>
        <w:gridCol w:w="3264"/>
        <w:gridCol w:w="3264"/>
        <w:gridCol w:w="3264"/>
      </w:tblGrid>
      <w:tr>
        <w:tc>
          <w:tcPr>
            <w:tcW w:type="dxa" w:w="2592"/>
            <w:tcMar>
              <w:top w:w="90" w:type="dxa"/>
              <w:bottom w:w="90" w:type="dxa"/>
              <w:left w:w="120" w:type="dxa"/>
              <w:right w:w="120" w:type="dxa"/>
            </w:tcMar>
            <w:shd w:fill="1F4E79"/>
            <w:tcBorders>
              <w:top w:val="single" w:sz="4" w:space="0" w:color="1F4E79"/>
              <w:bottom w:val="single" w:sz="4" w:space="0" w:color="1F4E79"/>
              <w:left w:val="single" w:sz="4" w:space="0" w:color="1F4E79"/>
              <w:right w:val="single" w:sz="4" w:space="0" w:color="1F4E79"/>
            </w:tcBorders>
          </w:tcPr>
          <w:p>
            <w:pPr>
              <w:spacing w:after="0"/>
            </w:pPr>
            <w:r>
              <w:rPr>
                <w:b/>
                <w:color w:val="FFFFFF"/>
                <w:sz w:val="19"/>
              </w:rPr>
              <w:t>Architectural Decision</w:t>
            </w:r>
          </w:p>
        </w:tc>
        <w:tc>
          <w:tcPr>
            <w:tcW w:type="dxa" w:w="2592"/>
            <w:tcMar>
              <w:top w:w="90" w:type="dxa"/>
              <w:bottom w:w="90" w:type="dxa"/>
              <w:left w:w="120" w:type="dxa"/>
              <w:right w:w="120" w:type="dxa"/>
            </w:tcMar>
            <w:shd w:fill="1F4E79"/>
            <w:tcBorders>
              <w:top w:val="single" w:sz="4" w:space="0" w:color="1F4E79"/>
              <w:bottom w:val="single" w:sz="4" w:space="0" w:color="1F4E79"/>
              <w:left w:val="single" w:sz="4" w:space="0" w:color="1F4E79"/>
              <w:right w:val="single" w:sz="4" w:space="0" w:color="1F4E79"/>
            </w:tcBorders>
          </w:tcPr>
          <w:p>
            <w:pPr>
              <w:spacing w:after="0"/>
            </w:pPr>
            <w:r>
              <w:rPr>
                <w:b/>
                <w:color w:val="FFFFFF"/>
                <w:sz w:val="19"/>
              </w:rPr>
              <w:t>Alternative Considered</w:t>
            </w:r>
          </w:p>
        </w:tc>
        <w:tc>
          <w:tcPr>
            <w:tcW w:type="dxa" w:w="4608"/>
            <w:tcMar>
              <w:top w:w="90" w:type="dxa"/>
              <w:bottom w:w="90" w:type="dxa"/>
              <w:left w:w="120" w:type="dxa"/>
              <w:right w:w="120" w:type="dxa"/>
            </w:tcMar>
            <w:shd w:fill="1F4E79"/>
            <w:tcBorders>
              <w:top w:val="single" w:sz="4" w:space="0" w:color="1F4E79"/>
              <w:bottom w:val="single" w:sz="4" w:space="0" w:color="1F4E79"/>
              <w:left w:val="single" w:sz="4" w:space="0" w:color="1F4E79"/>
              <w:right w:val="single" w:sz="4" w:space="0" w:color="1F4E79"/>
            </w:tcBorders>
          </w:tcPr>
          <w:p>
            <w:pPr>
              <w:spacing w:after="0"/>
            </w:pPr>
            <w:r>
              <w:rPr>
                <w:b/>
                <w:color w:val="FFFFFF"/>
                <w:sz w:val="19"/>
              </w:rPr>
              <w:t>Defensible Rationale for Edumerge-360</w:t>
            </w:r>
          </w:p>
        </w:tc>
      </w:tr>
      <w:tr>
        <w:tc>
          <w:tcPr>
            <w:tcW w:type="dxa" w:w="2592"/>
            <w:tcMar>
              <w:top w:w="90" w:type="dxa"/>
              <w:bottom w:w="9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after="0"/>
            </w:pPr>
            <w:r>
              <w:rPr>
                <w:b/>
                <w:color w:val="1F4E79"/>
                <w:sz w:val="19"/>
              </w:rPr>
              <w:t>Next.js 15 Modular Monolith</w:t>
            </w:r>
          </w:p>
        </w:tc>
        <w:tc>
          <w:tcPr>
            <w:tcW w:type="dxa" w:w="2592"/>
            <w:tcMar>
              <w:top w:w="90" w:type="dxa"/>
              <w:bottom w:w="9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after="0"/>
            </w:pPr>
            <w:r>
              <w:rPr>
                <w:color w:val="595959"/>
                <w:sz w:val="18"/>
              </w:rPr>
              <w:t>Distributed Microservices</w:t>
            </w:r>
          </w:p>
        </w:tc>
        <w:tc>
          <w:tcPr>
            <w:tcW w:type="dxa" w:w="4608"/>
            <w:tcMar>
              <w:top w:w="90" w:type="dxa"/>
              <w:bottom w:w="9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after="0"/>
            </w:pPr>
            <w:r>
              <w:rPr>
                <w:color w:val="262626"/>
                <w:sz w:val="18"/>
              </w:rPr>
              <w:t>For a 5,000-student college, microservices introduce distributed transaction latency (2PC/Sagas) and deployment complexity. A modular monolith provides single-repo atomic consistency.</w:t>
            </w:r>
          </w:p>
        </w:tc>
      </w:tr>
      <w:tr>
        <w:tc>
          <w:tcPr>
            <w:tcW w:type="dxa" w:w="2592"/>
            <w:tcMar>
              <w:top w:w="90" w:type="dxa"/>
              <w:bottom w:w="9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after="0"/>
            </w:pPr>
            <w:r>
              <w:rPr>
                <w:b/>
                <w:color w:val="1F4E79"/>
                <w:sz w:val="19"/>
              </w:rPr>
              <w:t>Integer Minor Units (Cents/Paise)</w:t>
            </w:r>
          </w:p>
        </w:tc>
        <w:tc>
          <w:tcPr>
            <w:tcW w:type="dxa" w:w="2592"/>
            <w:tcMar>
              <w:top w:w="90" w:type="dxa"/>
              <w:bottom w:w="9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after="0"/>
            </w:pPr>
            <w:r>
              <w:rPr>
                <w:color w:val="595959"/>
                <w:sz w:val="18"/>
              </w:rPr>
              <w:t>Float / Decimal Types</w:t>
            </w:r>
          </w:p>
        </w:tc>
        <w:tc>
          <w:tcPr>
            <w:tcW w:type="dxa" w:w="4608"/>
            <w:tcMar>
              <w:top w:w="90" w:type="dxa"/>
              <w:bottom w:w="9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after="0"/>
            </w:pPr>
            <w:r>
              <w:rPr>
                <w:color w:val="262626"/>
                <w:sz w:val="18"/>
              </w:rPr>
              <w:t>IEEE-754 floating point arithmetic introduces rounding drift that compounds in multi-head ledgers. Storing values in integer cents guarantees zero drift during fee calculation and reconciliation.</w:t>
            </w:r>
          </w:p>
        </w:tc>
      </w:tr>
      <w:tr>
        <w:tc>
          <w:tcPr>
            <w:tcW w:type="dxa" w:w="2592"/>
            <w:tcMar>
              <w:top w:w="90" w:type="dxa"/>
              <w:bottom w:w="9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after="0"/>
            </w:pPr>
            <w:r>
              <w:rPr>
                <w:b/>
                <w:color w:val="1F4E79"/>
                <w:sz w:val="19"/>
              </w:rPr>
              <w:t>Deterministic CSP Solver (MRV)</w:t>
            </w:r>
          </w:p>
        </w:tc>
        <w:tc>
          <w:tcPr>
            <w:tcW w:type="dxa" w:w="2592"/>
            <w:tcMar>
              <w:top w:w="90" w:type="dxa"/>
              <w:bottom w:w="9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after="0"/>
            </w:pPr>
            <w:r>
              <w:rPr>
                <w:color w:val="595959"/>
                <w:sz w:val="18"/>
              </w:rPr>
              <w:t>Genetic Algorithms</w:t>
            </w:r>
          </w:p>
        </w:tc>
        <w:tc>
          <w:tcPr>
            <w:tcW w:type="dxa" w:w="4608"/>
            <w:tcMar>
              <w:top w:w="90" w:type="dxa"/>
              <w:bottom w:w="90" w:type="dxa"/>
              <w:left w:w="120" w:type="dxa"/>
              <w:right w:w="120" w:type="dxa"/>
            </w:tcMar>
            <w:shd w:fill="FFFFFF"/>
            <w:tcBorders>
              <w:top w:val="single" w:sz="4" w:space="0" w:color="E2E8F0"/>
              <w:bottom w:val="single" w:sz="4" w:space="0" w:color="E2E8F0"/>
              <w:left w:val="single" w:sz="4" w:space="0" w:color="E2E8F0"/>
              <w:right w:val="single" w:sz="4" w:space="0" w:color="E2E8F0"/>
            </w:tcBorders>
          </w:tcPr>
          <w:p>
            <w:pPr>
              <w:spacing w:after="0"/>
            </w:pPr>
            <w:r>
              <w:rPr>
                <w:color w:val="262626"/>
                <w:sz w:val="18"/>
              </w:rPr>
              <w:t>Genetic algorithms are non-deterministic, can produce subtle collisions, and fail silently when constraints are impossible. A formal CSP solver either finds a valid schedule or halts in &lt;10ms with diagnostic proof.</w:t>
            </w:r>
          </w:p>
        </w:tc>
      </w:tr>
      <w:tr>
        <w:tc>
          <w:tcPr>
            <w:tcW w:type="dxa" w:w="2592"/>
            <w:tcMar>
              <w:top w:w="90" w:type="dxa"/>
              <w:bottom w:w="9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after="0"/>
            </w:pPr>
            <w:r>
              <w:rPr>
                <w:b/>
                <w:color w:val="1F4E79"/>
                <w:sz w:val="19"/>
              </w:rPr>
              <w:t>Pessimistic Date-Locking (23:59)</w:t>
            </w:r>
          </w:p>
        </w:tc>
        <w:tc>
          <w:tcPr>
            <w:tcW w:type="dxa" w:w="2592"/>
            <w:tcMar>
              <w:top w:w="90" w:type="dxa"/>
              <w:bottom w:w="9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after="0"/>
            </w:pPr>
            <w:r>
              <w:rPr>
                <w:color w:val="595959"/>
                <w:sz w:val="18"/>
              </w:rPr>
              <w:t>Lax Grace Periods</w:t>
            </w:r>
          </w:p>
        </w:tc>
        <w:tc>
          <w:tcPr>
            <w:tcW w:type="dxa" w:w="4608"/>
            <w:tcMar>
              <w:top w:w="90" w:type="dxa"/>
              <w:bottom w:w="90" w:type="dxa"/>
              <w:left w:w="120" w:type="dxa"/>
              <w:right w:w="120" w:type="dxa"/>
            </w:tcMar>
            <w:shd w:fill="F8FAFC"/>
            <w:tcBorders>
              <w:top w:val="single" w:sz="4" w:space="0" w:color="E2E8F0"/>
              <w:bottom w:val="single" w:sz="4" w:space="0" w:color="E2E8F0"/>
              <w:left w:val="single" w:sz="4" w:space="0" w:color="E2E8F0"/>
              <w:right w:val="single" w:sz="4" w:space="0" w:color="E2E8F0"/>
            </w:tcBorders>
          </w:tcPr>
          <w:p>
            <w:pPr>
              <w:spacing w:after="0"/>
            </w:pPr>
            <w:r>
              <w:rPr>
                <w:color w:val="262626"/>
                <w:sz w:val="18"/>
              </w:rPr>
              <w:t>Regulatory bodies fail colleges that permit post-facto attendance manipulation. Hard locking with Dean-authorized maker-checker waivers ensures strict audit defensibility.</w:t>
            </w:r>
          </w:p>
        </w:tc>
      </w:tr>
    </w:tbl>
    <w:p>
      <w:pPr>
        <w:keepNext/>
        <w:spacing w:before="280" w:after="80"/>
      </w:pPr>
      <w:r>
        <w:rPr>
          <w:b/>
          <w:color w:val="1F4E79"/>
          <w:sz w:val="26"/>
        </w:rPr>
        <w:t>9. Mandatory AI Usage Report (Section 28 Compliance)</w:t>
      </w:r>
    </w:p>
    <w:p>
      <w:pPr>
        <w:spacing w:after="160"/>
        <w:pBdr>
          <w:bottom w:val="single" w:sz="6" w:space="1" w:color="1F4E79"/>
        </w:pBdr>
      </w:pPr>
    </w:p>
    <w:p>
      <w:r>
        <w:t>In strict compliance with Page 6 of the Pre-Drive Product Engineering Assignment Brief, below is the complete, honest, and unvarnished disclosure of AI tool usage, prompt engineering, code modifications, and algorithmic debugging performed during development:</w:t>
      </w:r>
    </w:p>
    <w:tbl>
      <w:tblPr>
        <w:tblW w:type="auto" w:w="0"/>
        <w:jc w:val="center"/>
        <w:tblLayout w:type="fixed"/>
        <w:tblLook w:firstColumn="1" w:firstRow="1" w:lastColumn="0" w:lastRow="0" w:noHBand="0" w:noVBand="1" w:val="04A0"/>
      </w:tblPr>
      <w:tblGrid>
        <w:gridCol w:w="4896"/>
        <w:gridCol w:w="4896"/>
      </w:tblGrid>
      <w:tr>
        <w:tc>
          <w:tcPr>
            <w:tcW w:type="dxa" w:w="3168"/>
            <w:tcMar>
              <w:top w:w="100" w:type="dxa"/>
              <w:bottom w:w="100" w:type="dxa"/>
              <w:left w:w="130" w:type="dxa"/>
              <w:right w:w="130" w:type="dxa"/>
            </w:tcMar>
            <w:shd w:fill="EDF4F9"/>
            <w:tcBorders>
              <w:top w:val="single" w:sz="4" w:space="0" w:color="D0DCE5"/>
              <w:bottom w:val="single" w:sz="4" w:space="0" w:color="D0DCE5"/>
              <w:left w:val="single" w:sz="4" w:space="0" w:color="D0DCE5"/>
              <w:right w:val="single" w:sz="4" w:space="0" w:color="D0DCE5"/>
            </w:tcBorders>
          </w:tcPr>
          <w:p>
            <w:pPr>
              <w:spacing w:after="0"/>
            </w:pPr>
            <w:r>
              <w:rPr>
                <w:b/>
                <w:color w:val="1F4E79"/>
                <w:sz w:val="19"/>
              </w:rPr>
              <w:t>AI TOOL USED:</w:t>
            </w:r>
          </w:p>
        </w:tc>
        <w:tc>
          <w:tcPr>
            <w:tcW w:type="dxa" w:w="6624"/>
            <w:tcMar>
              <w:top w:w="100" w:type="dxa"/>
              <w:bottom w:w="100" w:type="dxa"/>
              <w:left w:w="130" w:type="dxa"/>
              <w:right w:w="130" w:type="dxa"/>
            </w:tcMar>
            <w:shd w:fill="F2F6FA"/>
            <w:tcBorders>
              <w:top w:val="single" w:sz="4" w:space="0" w:color="D0DCE5"/>
              <w:bottom w:val="single" w:sz="4" w:space="0" w:color="D0DCE5"/>
              <w:left w:val="single" w:sz="4" w:space="0" w:color="D0DCE5"/>
              <w:right w:val="single" w:sz="4" w:space="0" w:color="D0DCE5"/>
            </w:tcBorders>
          </w:tcPr>
          <w:p>
            <w:pPr>
              <w:spacing w:after="0"/>
            </w:pPr>
            <w:r>
              <w:rPr>
                <w:color w:val="262626"/>
                <w:sz w:val="18"/>
              </w:rPr>
              <w:t>Claude (Anthropic) &amp; ChatGPT (GPT-4o)</w:t>
            </w:r>
          </w:p>
        </w:tc>
      </w:tr>
      <w:tr>
        <w:tc>
          <w:tcPr>
            <w:tcW w:type="dxa" w:w="3168"/>
            <w:tcMar>
              <w:top w:w="100" w:type="dxa"/>
              <w:bottom w:w="100" w:type="dxa"/>
              <w:left w:w="130" w:type="dxa"/>
              <w:right w:w="130" w:type="dxa"/>
            </w:tcMar>
            <w:shd w:fill="EDF4F9"/>
            <w:tcBorders>
              <w:top w:val="single" w:sz="4" w:space="0" w:color="D0DCE5"/>
              <w:bottom w:val="single" w:sz="4" w:space="0" w:color="D0DCE5"/>
              <w:left w:val="single" w:sz="4" w:space="0" w:color="D0DCE5"/>
              <w:right w:val="single" w:sz="4" w:space="0" w:color="D0DCE5"/>
            </w:tcBorders>
          </w:tcPr>
          <w:p>
            <w:pPr>
              <w:spacing w:after="0"/>
            </w:pPr>
            <w:r>
              <w:rPr>
                <w:b/>
                <w:color w:val="1F4E79"/>
                <w:sz w:val="19"/>
              </w:rPr>
              <w:t>WHAT I ASKED AI TO DO:</w:t>
              <w:br/>
              <w:t>(Tasks 1 - 4)</w:t>
            </w:r>
          </w:p>
        </w:tc>
        <w:tc>
          <w:tcPr>
            <w:tcW w:type="dxa" w:w="6624"/>
            <w:tcMar>
              <w:top w:w="100" w:type="dxa"/>
              <w:bottom w:w="100" w:type="dxa"/>
              <w:left w:w="130" w:type="dxa"/>
              <w:right w:w="130" w:type="dxa"/>
            </w:tcMar>
            <w:shd w:fill="FFFFFF"/>
            <w:tcBorders>
              <w:top w:val="single" w:sz="4" w:space="0" w:color="D0DCE5"/>
              <w:bottom w:val="single" w:sz="4" w:space="0" w:color="D0DCE5"/>
              <w:left w:val="single" w:sz="4" w:space="0" w:color="D0DCE5"/>
              <w:right w:val="single" w:sz="4" w:space="0" w:color="D0DCE5"/>
            </w:tcBorders>
          </w:tcPr>
          <w:p>
            <w:pPr>
              <w:spacing w:after="0"/>
            </w:pPr>
            <w:r>
              <w:rPr>
                <w:color w:val="262626"/>
                <w:sz w:val="18"/>
              </w:rPr>
              <w:t>1. Brainstorm relational schema links connecting the 5 domains into an integrated enterprise ERP.</w:t>
              <w:br/>
              <w:t>2. Scaffold boilerplate Next.js App Router API route handlers and initial Tailwind layouts.</w:t>
              <w:br/>
              <w:t>3. Draft an initial recursive backtracking skeleton for academic timetable scheduling.</w:t>
              <w:br/>
              <w:t>4. Generate realistic synthetic institutional seed data (courses, subjects, faculty, and bank CSV lines).</w:t>
            </w:r>
          </w:p>
        </w:tc>
      </w:tr>
      <w:tr>
        <w:tc>
          <w:tcPr>
            <w:tcW w:type="dxa" w:w="3168"/>
            <w:tcMar>
              <w:top w:w="100" w:type="dxa"/>
              <w:bottom w:w="100" w:type="dxa"/>
              <w:left w:w="130" w:type="dxa"/>
              <w:right w:w="130" w:type="dxa"/>
            </w:tcMar>
            <w:shd w:fill="EDF4F9"/>
            <w:tcBorders>
              <w:top w:val="single" w:sz="4" w:space="0" w:color="D0DCE5"/>
              <w:bottom w:val="single" w:sz="4" w:space="0" w:color="D0DCE5"/>
              <w:left w:val="single" w:sz="4" w:space="0" w:color="D0DCE5"/>
              <w:right w:val="single" w:sz="4" w:space="0" w:color="D0DCE5"/>
            </w:tcBorders>
          </w:tcPr>
          <w:p>
            <w:pPr>
              <w:spacing w:after="0"/>
            </w:pPr>
            <w:r>
              <w:rPr>
                <w:b/>
                <w:color w:val="1F4E79"/>
                <w:sz w:val="19"/>
              </w:rPr>
              <w:t>PROMPT THAT WAS MOST USEFUL:</w:t>
              <w:br/>
              <w:t>(Verbatim Prompt)</w:t>
            </w:r>
          </w:p>
        </w:tc>
        <w:tc>
          <w:tcPr>
            <w:tcW w:type="dxa" w:w="6624"/>
            <w:tcMar>
              <w:top w:w="100" w:type="dxa"/>
              <w:bottom w:w="100" w:type="dxa"/>
              <w:left w:w="130" w:type="dxa"/>
              <w:right w:w="130" w:type="dxa"/>
            </w:tcMar>
            <w:shd w:fill="F2F6FA"/>
            <w:tcBorders>
              <w:top w:val="single" w:sz="4" w:space="0" w:color="D0DCE5"/>
              <w:bottom w:val="single" w:sz="4" w:space="0" w:color="D0DCE5"/>
              <w:left w:val="single" w:sz="4" w:space="0" w:color="D0DCE5"/>
              <w:right w:val="single" w:sz="4" w:space="0" w:color="D0DCE5"/>
            </w:tcBorders>
          </w:tcPr>
          <w:p>
            <w:pPr>
              <w:spacing w:after="0"/>
            </w:pPr>
            <w:r>
              <w:rPr>
                <w:color w:val="262626"/>
                <w:sz w:val="18"/>
              </w:rPr>
              <w:t>"Implement a pure TypeScript Constraint Satisfaction Problem (CSP) solver using backtracking and forward checking for college timetable scheduling. Hard constraints must include no professor double-booking, no classroom double-booking, room capacity &gt;= class size, and lab subjects in lab rooms. If the constraints are mathematically impossible, do not return an invalid or partial timetable—instead, output a structured conflict diagnostic report detailing the bottleneck and concrete remediation steps."</w:t>
            </w:r>
          </w:p>
        </w:tc>
      </w:tr>
      <w:tr>
        <w:tc>
          <w:tcPr>
            <w:tcW w:type="dxa" w:w="3168"/>
            <w:tcMar>
              <w:top w:w="100" w:type="dxa"/>
              <w:bottom w:w="100" w:type="dxa"/>
              <w:left w:w="130" w:type="dxa"/>
              <w:right w:w="130" w:type="dxa"/>
            </w:tcMar>
            <w:shd w:fill="EDF4F9"/>
            <w:tcBorders>
              <w:top w:val="single" w:sz="4" w:space="0" w:color="D0DCE5"/>
              <w:bottom w:val="single" w:sz="4" w:space="0" w:color="D0DCE5"/>
              <w:left w:val="single" w:sz="4" w:space="0" w:color="D0DCE5"/>
              <w:right w:val="single" w:sz="4" w:space="0" w:color="D0DCE5"/>
            </w:tcBorders>
          </w:tcPr>
          <w:p>
            <w:pPr>
              <w:spacing w:after="0"/>
            </w:pPr>
            <w:r>
              <w:rPr>
                <w:b/>
                <w:color w:val="1F4E79"/>
                <w:sz w:val="19"/>
              </w:rPr>
              <w:t>CODE GENERATED BY AI:</w:t>
              <w:br/>
              <w:t>(What part?)</w:t>
            </w:r>
          </w:p>
        </w:tc>
        <w:tc>
          <w:tcPr>
            <w:tcW w:type="dxa" w:w="6624"/>
            <w:tcMar>
              <w:top w:w="100" w:type="dxa"/>
              <w:bottom w:w="100" w:type="dxa"/>
              <w:left w:w="130" w:type="dxa"/>
              <w:right w:w="130" w:type="dxa"/>
            </w:tcMar>
            <w:shd w:fill="FFFFFF"/>
            <w:tcBorders>
              <w:top w:val="single" w:sz="4" w:space="0" w:color="D0DCE5"/>
              <w:bottom w:val="single" w:sz="4" w:space="0" w:color="D0DCE5"/>
              <w:left w:val="single" w:sz="4" w:space="0" w:color="D0DCE5"/>
              <w:right w:val="single" w:sz="4" w:space="0" w:color="D0DCE5"/>
            </w:tcBorders>
          </w:tcPr>
          <w:p>
            <w:pPr>
              <w:spacing w:after="0"/>
            </w:pPr>
            <w:r>
              <w:rPr>
                <w:color w:val="262626"/>
                <w:sz w:val="18"/>
              </w:rPr>
              <w:t>Initial Prisma schema draft for entity definitions, recursive timetable solver skeleton, initial TypeScript interfaces for bank settlement records, and UI layout components.</w:t>
            </w:r>
          </w:p>
        </w:tc>
      </w:tr>
      <w:tr>
        <w:tc>
          <w:tcPr>
            <w:tcW w:type="dxa" w:w="3168"/>
            <w:tcMar>
              <w:top w:w="100" w:type="dxa"/>
              <w:bottom w:w="100" w:type="dxa"/>
              <w:left w:w="130" w:type="dxa"/>
              <w:right w:w="130" w:type="dxa"/>
            </w:tcMar>
            <w:shd w:fill="EDF4F9"/>
            <w:tcBorders>
              <w:top w:val="single" w:sz="4" w:space="0" w:color="D0DCE5"/>
              <w:bottom w:val="single" w:sz="4" w:space="0" w:color="D0DCE5"/>
              <w:left w:val="single" w:sz="4" w:space="0" w:color="D0DCE5"/>
              <w:right w:val="single" w:sz="4" w:space="0" w:color="D0DCE5"/>
            </w:tcBorders>
          </w:tcPr>
          <w:p>
            <w:pPr>
              <w:spacing w:after="0"/>
            </w:pPr>
            <w:r>
              <w:rPr>
                <w:b/>
                <w:color w:val="1F4E79"/>
                <w:sz w:val="19"/>
              </w:rPr>
              <w:t>CODE I MODIFIED &amp; ENGINEERED:</w:t>
              <w:br/>
              <w:t>(What part?)</w:t>
            </w:r>
          </w:p>
        </w:tc>
        <w:tc>
          <w:tcPr>
            <w:tcW w:type="dxa" w:w="6624"/>
            <w:tcMar>
              <w:top w:w="100" w:type="dxa"/>
              <w:bottom w:w="100" w:type="dxa"/>
              <w:left w:w="130" w:type="dxa"/>
              <w:right w:w="130" w:type="dxa"/>
            </w:tcMar>
            <w:shd w:fill="F2F6FA"/>
            <w:tcBorders>
              <w:top w:val="single" w:sz="4" w:space="0" w:color="D0DCE5"/>
              <w:bottom w:val="single" w:sz="4" w:space="0" w:color="D0DCE5"/>
              <w:left w:val="single" w:sz="4" w:space="0" w:color="D0DCE5"/>
              <w:right w:val="single" w:sz="4" w:space="0" w:color="D0DCE5"/>
            </w:tcBorders>
          </w:tcPr>
          <w:p>
            <w:pPr>
              <w:spacing w:after="0"/>
            </w:pPr>
            <w:r>
              <w:rPr>
                <w:color w:val="262626"/>
                <w:sz w:val="18"/>
              </w:rPr>
              <w:t>• Converted all financial amounts to integer minor units (paise/cents) to eliminate float rounding errors.</w:t>
              <w:br/>
              <w:t>• Wrapped fee payments, invoice balances, and head distributions in atomic prisma.$transaction().</w:t>
              <w:br/>
              <w:t>• Implemented hard backend date-locking check on attendance sessions returning HTTP 423 Locked.</w:t>
              <w:br/>
              <w:t>• Engineered persistent evaluator 1-click role switcher for fast technical assessment.</w:t>
            </w:r>
          </w:p>
        </w:tc>
      </w:tr>
      <w:tr>
        <w:tc>
          <w:tcPr>
            <w:tcW w:type="dxa" w:w="3168"/>
            <w:tcMar>
              <w:top w:w="100" w:type="dxa"/>
              <w:bottom w:w="100" w:type="dxa"/>
              <w:left w:w="130" w:type="dxa"/>
              <w:right w:w="130" w:type="dxa"/>
            </w:tcMar>
            <w:shd w:fill="EDF4F9"/>
            <w:tcBorders>
              <w:top w:val="single" w:sz="4" w:space="0" w:color="D0DCE5"/>
              <w:bottom w:val="single" w:sz="4" w:space="0" w:color="D0DCE5"/>
              <w:left w:val="single" w:sz="4" w:space="0" w:color="D0DCE5"/>
              <w:right w:val="single" w:sz="4" w:space="0" w:color="D0DCE5"/>
            </w:tcBorders>
          </w:tcPr>
          <w:p>
            <w:pPr>
              <w:spacing w:after="0"/>
            </w:pPr>
            <w:r>
              <w:rPr>
                <w:b/>
                <w:color w:val="1F4E79"/>
                <w:sz w:val="19"/>
              </w:rPr>
              <w:t>AI OUTPUT THAT WAS WRONG / SUB-OPTIMAL:</w:t>
            </w:r>
          </w:p>
        </w:tc>
        <w:tc>
          <w:tcPr>
            <w:tcW w:type="dxa" w:w="6624"/>
            <w:tcMar>
              <w:top w:w="100" w:type="dxa"/>
              <w:bottom w:w="100" w:type="dxa"/>
              <w:left w:w="130" w:type="dxa"/>
              <w:right w:w="130" w:type="dxa"/>
            </w:tcMar>
            <w:shd w:fill="FFFFFF"/>
            <w:tcBorders>
              <w:top w:val="single" w:sz="4" w:space="0" w:color="D0DCE5"/>
              <w:bottom w:val="single" w:sz="4" w:space="0" w:color="D0DCE5"/>
              <w:left w:val="single" w:sz="4" w:space="0" w:color="D0DCE5"/>
              <w:right w:val="single" w:sz="4" w:space="0" w:color="D0DCE5"/>
            </w:tcBorders>
          </w:tcPr>
          <w:p>
            <w:pPr>
              <w:spacing w:after="0"/>
            </w:pPr>
            <w:r>
              <w:rPr>
                <w:color w:val="B41414"/>
                <w:sz w:val="18"/>
              </w:rPr>
              <w:t>In the initial timetable generator, the AI produced a naive recursive solver that used Math.random() to shuffle subjects and periods without pre-solve domain validation or forward checking sets. When tested with realistic constraints (such as 100 students in 60-seat rooms, or high lab hours with limited lab rooms), the solver entered deep recursive loops, frequently exceeded the call stack, or returned incomplete schedules with overlapping faculty slots.</w:t>
            </w:r>
          </w:p>
        </w:tc>
      </w:tr>
      <w:tr>
        <w:tc>
          <w:tcPr>
            <w:tcW w:type="dxa" w:w="3168"/>
            <w:tcMar>
              <w:top w:w="100" w:type="dxa"/>
              <w:bottom w:w="100" w:type="dxa"/>
              <w:left w:w="130" w:type="dxa"/>
              <w:right w:w="130" w:type="dxa"/>
            </w:tcMar>
            <w:shd w:fill="EDF4F9"/>
            <w:tcBorders>
              <w:top w:val="single" w:sz="4" w:space="0" w:color="D0DCE5"/>
              <w:bottom w:val="single" w:sz="4" w:space="0" w:color="D0DCE5"/>
              <w:left w:val="single" w:sz="4" w:space="0" w:color="D0DCE5"/>
              <w:right w:val="single" w:sz="4" w:space="0" w:color="D0DCE5"/>
            </w:tcBorders>
          </w:tcPr>
          <w:p>
            <w:pPr>
              <w:spacing w:after="0"/>
            </w:pPr>
            <w:r>
              <w:rPr>
                <w:b/>
                <w:color w:val="1F4E79"/>
                <w:sz w:val="19"/>
              </w:rPr>
              <w:t>HOW I IDENTIFIED THE PROBLEM:</w:t>
            </w:r>
          </w:p>
        </w:tc>
        <w:tc>
          <w:tcPr>
            <w:tcW w:type="dxa" w:w="6624"/>
            <w:tcMar>
              <w:top w:w="100" w:type="dxa"/>
              <w:bottom w:w="100" w:type="dxa"/>
              <w:left w:w="130" w:type="dxa"/>
              <w:right w:w="130" w:type="dxa"/>
            </w:tcMar>
            <w:shd w:fill="F2F6FA"/>
            <w:tcBorders>
              <w:top w:val="single" w:sz="4" w:space="0" w:color="D0DCE5"/>
              <w:bottom w:val="single" w:sz="4" w:space="0" w:color="D0DCE5"/>
              <w:left w:val="single" w:sz="4" w:space="0" w:color="D0DCE5"/>
              <w:right w:val="single" w:sz="4" w:space="0" w:color="D0DCE5"/>
            </w:tcBorders>
          </w:tcPr>
          <w:p>
            <w:pPr>
              <w:spacing w:after="0"/>
            </w:pPr>
            <w:r>
              <w:rPr>
                <w:color w:val="262626"/>
                <w:sz w:val="18"/>
              </w:rPr>
              <w:t>I wrote automated unit tests in Vitest (tests/timetable-csp.test.ts) covering tight room constraints and impossible hour requests. The test suite timed out with unhandled call stack overflows instead of failing gracefully.</w:t>
            </w:r>
          </w:p>
        </w:tc>
      </w:tr>
      <w:tr>
        <w:tc>
          <w:tcPr>
            <w:tcW w:type="dxa" w:w="3168"/>
            <w:tcMar>
              <w:top w:w="100" w:type="dxa"/>
              <w:bottom w:w="100" w:type="dxa"/>
              <w:left w:w="130" w:type="dxa"/>
              <w:right w:w="130" w:type="dxa"/>
            </w:tcMar>
            <w:shd w:fill="EDF4F9"/>
            <w:tcBorders>
              <w:top w:val="single" w:sz="4" w:space="0" w:color="D0DCE5"/>
              <w:bottom w:val="single" w:sz="4" w:space="0" w:color="D0DCE5"/>
              <w:left w:val="single" w:sz="4" w:space="0" w:color="D0DCE5"/>
              <w:right w:val="single" w:sz="4" w:space="0" w:color="D0DCE5"/>
            </w:tcBorders>
          </w:tcPr>
          <w:p>
            <w:pPr>
              <w:spacing w:after="0"/>
            </w:pPr>
            <w:r>
              <w:rPr>
                <w:b/>
                <w:color w:val="1F4E79"/>
                <w:sz w:val="19"/>
              </w:rPr>
              <w:t>HOW I FIXED IT:</w:t>
            </w:r>
          </w:p>
        </w:tc>
        <w:tc>
          <w:tcPr>
            <w:tcW w:type="dxa" w:w="6624"/>
            <w:tcMar>
              <w:top w:w="100" w:type="dxa"/>
              <w:bottom w:w="100" w:type="dxa"/>
              <w:left w:w="130" w:type="dxa"/>
              <w:right w:w="130" w:type="dxa"/>
            </w:tcMar>
            <w:shd w:fill="FFFFFF"/>
            <w:tcBorders>
              <w:top w:val="single" w:sz="4" w:space="0" w:color="D0DCE5"/>
              <w:bottom w:val="single" w:sz="4" w:space="0" w:color="D0DCE5"/>
              <w:left w:val="single" w:sz="4" w:space="0" w:color="D0DCE5"/>
              <w:right w:val="single" w:sz="4" w:space="0" w:color="D0DCE5"/>
            </w:tcBorders>
          </w:tcPr>
          <w:p>
            <w:pPr>
              <w:spacing w:after="0"/>
            </w:pPr>
            <w:r>
              <w:rPr>
                <w:color w:val="107832"/>
                <w:sz w:val="18"/>
              </w:rPr>
              <w:t>1. Discarded the random-shuffle approach and implemented formal Minimum Remaining Values (MRV) heuristic sorting (scheduling lab subjects and high-hour core subjects first).</w:t>
              <w:br/>
              <w:t>2. Added an instantaneous Pre-Solve Feasibility Check that halts in &lt;5ms with structured diagnostics if requested hours exceed available periods.</w:t>
              <w:br/>
              <w:t>3. Introduced deterministic tracking sets (facultyBusy, roomBusy, divisionGrid) to evaluate hard constraints in O(1) time during the search.</w:t>
            </w:r>
          </w:p>
        </w:tc>
      </w:tr>
    </w:tbl>
    <w:p>
      <w:pPr>
        <w:keepNext/>
        <w:spacing w:before="280" w:after="80"/>
      </w:pPr>
      <w:r>
        <w:rPr>
          <w:b/>
          <w:color w:val="1F4E79"/>
          <w:sz w:val="26"/>
        </w:rPr>
        <w:t>10. Verification &amp; Local Execution Guide</w:t>
      </w:r>
    </w:p>
    <w:p>
      <w:pPr>
        <w:spacing w:after="160"/>
        <w:pBdr>
          <w:bottom w:val="single" w:sz="6" w:space="1" w:color="1F4E79"/>
        </w:pBdr>
      </w:pPr>
    </w:p>
    <w:p>
      <w:r>
        <w:t>To run and verify the complete solution locally:</w:t>
      </w:r>
    </w:p>
    <w:tbl>
      <w:tblPr>
        <w:tblW w:type="auto" w:w="0"/>
        <w:jc w:val="center"/>
        <w:tblLook w:firstColumn="1" w:firstRow="1" w:lastColumn="0" w:lastRow="0" w:noHBand="0" w:noVBand="1" w:val="04A0"/>
      </w:tblPr>
      <w:tblGrid>
        <w:gridCol w:w="9792"/>
      </w:tblGrid>
      <w:tr>
        <w:tc>
          <w:tcPr>
            <w:tcW w:type="dxa" w:w="9792"/>
            <w:shd w:fill="1E293B"/>
            <w:tcMar>
              <w:top w:w="140" w:type="dxa"/>
              <w:bottom w:w="140" w:type="dxa"/>
              <w:left w:w="160" w:type="dxa"/>
              <w:right w:w="160" w:type="dxa"/>
            </w:tcMar>
          </w:tcPr>
          <w:p>
            <w:pPr>
              <w:spacing w:after="0"/>
            </w:pPr>
            <w:r>
              <w:rPr>
                <w:rFonts w:ascii="Consolas" w:hAnsi="Consolas"/>
                <w:color w:val="FFFFFF"/>
                <w:sz w:val="18"/>
              </w:rPr>
              <w:t># 1. Clone repository &amp; install dependencies</w:t>
              <w:br/>
              <w:t>git clone https://github.com/Maheshmekala/edumerge-360</w:t>
              <w:br/>
              <w:t>cd edumerge-360</w:t>
              <w:br/>
              <w:t>npm install</w:t>
              <w:br/>
              <w:br/>
              <w:t># 2. Initialize database schema &amp; seed realistic college data</w:t>
              <w:br/>
              <w:t>npm run db:push</w:t>
              <w:br/>
              <w:t>npx tsx prisma/seed.ts</w:t>
              <w:br/>
              <w:br/>
              <w:t># 3. Run automated test suite (17/17 tests passing)</w:t>
              <w:br/>
              <w:t>npm test</w:t>
              <w:br/>
              <w:br/>
              <w:t># 4. Launch development server</w:t>
              <w:br/>
              <w:t>npm run dev</w:t>
              <w:br/>
              <w:t># Open http://localhost:3000 in your browser</w:t>
            </w:r>
          </w:p>
        </w:tc>
      </w:tr>
    </w:tbl>
    <w:p>
      <w:pPr>
        <w:keepNext/>
        <w:spacing w:before="280" w:after="80"/>
      </w:pPr>
      <w:r>
        <w:rPr>
          <w:b/>
          <w:color w:val="1F4E79"/>
          <w:sz w:val="26"/>
        </w:rPr>
        <w:t>11. Ready-to-Send Email Text for tech_interview@edumerge.com</w:t>
      </w:r>
    </w:p>
    <w:p>
      <w:pPr>
        <w:spacing w:after="160"/>
        <w:pBdr>
          <w:bottom w:val="single" w:sz="6" w:space="1" w:color="1F4E79"/>
        </w:pBdr>
      </w:pPr>
    </w:p>
    <w:p>
      <w:r>
        <w:t>Copy-paste email text to submit your assignment:</w:t>
      </w:r>
    </w:p>
    <w:tbl>
      <w:tblPr>
        <w:tblW w:type="auto" w:w="0"/>
        <w:jc w:val="center"/>
        <w:tblLook w:firstColumn="1" w:firstRow="1" w:lastColumn="0" w:lastRow="0" w:noHBand="0" w:noVBand="1" w:val="04A0"/>
      </w:tblPr>
      <w:tblGrid>
        <w:gridCol w:w="9792"/>
      </w:tblGrid>
      <w:tr>
        <w:tc>
          <w:tcPr>
            <w:tcW w:type="dxa" w:w="9792"/>
            <w:shd w:fill="F8FAFC"/>
            <w:tcBorders>
              <w:top w:val="single" w:sz="8" w:space="0" w:color="1F4E79"/>
              <w:bottom w:val="single" w:sz="8" w:space="0" w:color="1F4E79"/>
              <w:left w:val="single" w:sz="8" w:space="0" w:color="1F4E79"/>
              <w:right w:val="single" w:sz="8" w:space="0" w:color="1F4E79"/>
            </w:tcBorders>
            <w:tcMar>
              <w:top w:w="140" w:type="dxa"/>
              <w:bottom w:w="140" w:type="dxa"/>
              <w:left w:w="160" w:type="dxa"/>
              <w:right w:w="160" w:type="dxa"/>
            </w:tcMar>
          </w:tcPr>
          <w:p>
            <w:pPr>
              <w:spacing w:after="0"/>
            </w:pPr>
            <w:r>
              <w:rPr>
                <w:rFonts w:ascii="Calibri" w:hAnsi="Calibri"/>
                <w:color w:val="262626"/>
                <w:sz w:val="19"/>
              </w:rPr>
              <w:t>To: tech_interview@edumerge.com</w:t>
              <w:br/>
              <w:t>Subject: Submission: Pre-Drive Product Engineering Assignment — Mahesh Mekala (Edumerge-360)</w:t>
              <w:br/>
              <w:br/>
              <w:t>Dear Edumerge Technical Hiring Team,</w:t>
              <w:br/>
              <w:br/>
              <w:t>Please find attached my submission for the Edumerge Pre-Drive Product Engineering Assignment.</w:t>
              <w:br/>
              <w:br/>
              <w:t>While the brief asked to choose one assignment, I recognized that in real higher-education institutions, Attendance, Fee Collection, Timetables, Student Support, and Admissions are tightly coupled. Building isolated CRUD mockups would miss the critical multi-department workflows, data consistency, and compliance needs that educational institutions face daily.</w:t>
              <w:br/>
              <w:br/>
              <w:t>Therefore, I have built Edumerge-360, a complete, production-grade Enterprise Campus Operating System that solves all 5 assignments under a unified relational data model, with 17 passing automated unit tests, full RBAC, an append-only forensic audit trail, and zero-float financial arithmetic.</w:t>
              <w:br/>
              <w:br/>
              <w:t>Review Links:</w:t>
              <w:br/>
              <w:t>• Live Deployed Prototype: https://roles-edit-pregnant-hamilton.trycloudflare.com</w:t>
              <w:br/>
              <w:t>• GitHub Repository: https://github.com/Maheshmekala/edumerge-360</w:t>
              <w:br/>
              <w:t>• Full Documentation: Available directly in the /docs directory</w:t>
              <w:br/>
              <w:br/>
              <w:t>(Evaluator Note: A 1-Click Role Switcher is embedded in the persistent top navigation and sidebar so you can test Super Admin, Academic Dean, Finance Officer, Faculty, Counsellor, and Student personas without repeatedly logging in and out.)</w:t>
              <w:br/>
              <w:br/>
              <w:t>The complete Mandatory AI Usage Report (Section 28 / Page 6) is filled out in full in this submission document.</w:t>
              <w:br/>
              <w:br/>
              <w:t>I look forward to discussing the architecture, trade-offs, and product decisions in the technical interview.</w:t>
              <w:br/>
              <w:br/>
              <w:t>Best regards,</w:t>
              <w:br/>
              <w:t>Mahesh Mekala</w:t>
              <w:br/>
              <w:t>GitHub: https://github.com/Maheshmekala</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