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Informal Worker Income Verification for Micro-Loan Eligibility: An Explainable Machine Learning Framework Using UPI Transaction and Mobile Recharge Behaviour</w:t>
      </w:r>
    </w:p>
    <w:p>
      <w:pPr>
        <w:spacing w:after="200"/>
        <w:jc w:val="center"/>
      </w:pPr>
      <w:r>
        <w:rPr>
          <w:rFonts w:ascii="Times New Roman" w:cs="Times New Roman" w:eastAsia="Times New Roman" w:hAnsi="Times New Roman"/>
          <w:i/>
          <w:iCs/>
          <w:sz w:val="20"/>
          <w:szCs w:val="20"/>
        </w:rPr>
        <w:t xml:space="preserve">(System Design and Methodology Paper)</w:t>
      </w:r>
    </w:p>
    <w:p>
      <w:pPr>
        <w:spacing w:after="20"/>
        <w:jc w:val="center"/>
      </w:pPr>
      <w:r>
        <w:rPr>
          <w:rFonts w:ascii="Times New Roman" w:cs="Times New Roman" w:eastAsia="Times New Roman" w:hAnsi="Times New Roman"/>
          <w:sz w:val="22"/>
          <w:szCs w:val="22"/>
        </w:rPr>
        <w:t xml:space="preserve">Murtaza Hussain, Mohammed Mahe Zama, and Vineeth Saudri</w:t>
      </w:r>
    </w:p>
    <w:p>
      <w:pPr>
        <w:spacing w:after="20"/>
        <w:jc w:val="center"/>
      </w:pPr>
      <w:r>
        <w:rPr>
          <w:rFonts w:ascii="Times New Roman" w:cs="Times New Roman" w:eastAsia="Times New Roman" w:hAnsi="Times New Roman"/>
          <w:i/>
          <w:iCs/>
          <w:sz w:val="20"/>
          <w:szCs w:val="20"/>
        </w:rPr>
        <w:t xml:space="preserve">Students, School of Computer Science and Engineering, Presidency University, Bengaluru, Karnataka, India</w:t>
      </w:r>
    </w:p>
    <w:p>
      <w:pPr>
        <w:spacing w:after="20"/>
        <w:jc w:val="center"/>
      </w:pPr>
      <w:r>
        <w:rPr>
          <w:rFonts w:ascii="Times New Roman" w:cs="Times New Roman" w:eastAsia="Times New Roman" w:hAnsi="Times New Roman"/>
          <w:sz w:val="22"/>
          <w:szCs w:val="22"/>
        </w:rPr>
        <w:t xml:space="preserve">Anand Prakash</w:t>
      </w:r>
    </w:p>
    <w:p>
      <w:pPr>
        <w:spacing w:after="20"/>
        <w:jc w:val="center"/>
      </w:pPr>
      <w:r>
        <w:rPr>
          <w:rFonts w:ascii="Times New Roman" w:cs="Times New Roman" w:eastAsia="Times New Roman" w:hAnsi="Times New Roman"/>
          <w:i/>
          <w:iCs/>
          <w:sz w:val="20"/>
          <w:szCs w:val="20"/>
        </w:rPr>
        <w:t xml:space="preserve">Associate Professor and Supervisor, School of Computer Science and Engineering, Presidency University, Bengaluru, Karnataka, India</w:t>
      </w:r>
    </w:p>
    <w:p>
      <w:pPr>
        <w:spacing w:after="280"/>
        <w:jc w:val="center"/>
        <w:sectPr>
          <w:type w:val="continuous"/>
          <w:pgSz w:w="12240" w:h="15840" w:orient="portrait"/>
          <w:pgMar w:top="1080" w:right="900" w:bottom="1440" w:left="900" w:header="708" w:footer="708" w:gutter="0"/>
          <w:pgNumType/>
          <w:docGrid w:linePitch="360"/>
        </w:sectPr>
      </w:pPr>
      <w:r>
        <w:rPr>
          <w:rFonts w:ascii="Times New Roman" w:cs="Times New Roman" w:eastAsia="Times New Roman" w:hAnsi="Times New Roman"/>
          <w:sz w:val="18"/>
          <w:szCs w:val="18"/>
        </w:rPr>
        <w:t xml:space="preserve">Corresponding author: Dr. Anand Prakash (anand.prakash@presidencyuniversity.in)</w:t>
      </w:r>
    </w:p>
    <w:p>
      <w:pPr>
        <w:spacing w:after="80"/>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 Daily-wage workers, street vendors, and gig workers constitute a substantial share of India's informal workforce, yet remain excluded from formal credit because conventional underwriting depends on salary slips, income-tax returns, or bureau history that this population structurally cannot produce. This paper presents the design and proposed methodology of an alternative, explainable credit-scoring system that infers income stability from a worker's Unified Payments Interface (UPI) transaction history and mobile recharge behaviour, converting these everyday digital-payment traces into a 0–100 creditworthiness score. The proposed pipeline engineers frequency-, regularity-, and volume-based behavioural features, applies a gradient-boosted tree model (XGBoost) for scoring, and attaches SHAP-based explanations that decompose each score into plain-language contributing factors, delivered through a FastAPI backend to a consent-driven worker-facing interface. We review the relevant literature on mobile-data and alternative-data credit scoring, position the proposed system against existing informal-credit and India-specific alternative-scoring studies, and identify a research gap in explainable, consent-based scoring pipelines purpose-built for daily-wage and gig-worker populations rather than for individual retail borrowers or micro, small and medium enterprises (MSMEs) in general. As the project is currently at an early design and literature-review stage, this paper reports the system architecture, methodology, and evaluation protocol rather than empirical results; the specific missing artefacts — a finalised dataset, trained model, and measured performance — are enumerated explicitly so that they can be addressed before any claim of validated performance is made.</w:t>
      </w:r>
    </w:p>
    <w:p>
      <w:pPr>
        <w:spacing w:after="280"/>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 alternative credit scoring, explainable artificial intelligence, SHAP, XGBoost, financial inclusion, UPI transaction data, informal workers, micro-loans.</w:t>
      </w:r>
    </w:p>
    <w:p>
      <w:pPr>
        <w:spacing w:after="160" w:before="320"/>
      </w:pPr>
      <w:r>
        <w:rPr>
          <w:rFonts w:ascii="Times New Roman" w:cs="Times New Roman" w:eastAsia="Times New Roman" w:hAnsi="Times New Roman"/>
          <w:b/>
          <w:bCs/>
          <w:sz w:val="22"/>
          <w:szCs w:val="22"/>
        </w:rPr>
        <w:t xml:space="preserve">I. INTRODUCTION</w:t>
      </w:r>
    </w:p>
    <w:p>
      <w:pPr>
        <w:spacing w:after="160" w:line="276"/>
        <w:jc w:val="both"/>
      </w:pPr>
      <w:r>
        <w:rPr>
          <w:rFonts w:ascii="Times New Roman" w:cs="Times New Roman" w:eastAsia="Times New Roman" w:hAnsi="Times New Roman"/>
          <w:sz w:val="21"/>
          <w:szCs w:val="21"/>
        </w:rPr>
        <w:t xml:space="preserve">A large share of India's working population — daily-wage labourers, street vendors, domestic workers, and platform-based gig workers — earns a genuine and often stable income but is unable to demonstrate this stability to a formal lender. Conventional underwriting is built around three artefacts: a salary slip, an income-tax return (ITR), or a credit-bureau history. None of these artefacts exist for a worker who is paid daily in cash or through informal digital transfers, and the absence of the artefact is routinely misread by lenders as an absence of creditworthiness rather than an absence of documentation. The consequence is a well-documented exclusion of financially active, digitally engaged individuals from collateral-free, formal micro-credit, forcing many toward informal moneylenders who charge substantially higher effective interest rates.</w:t>
      </w:r>
    </w:p>
    <w:p>
      <w:pPr>
        <w:spacing w:after="160" w:line="276"/>
        <w:jc w:val="both"/>
      </w:pPr>
      <w:r>
        <w:rPr>
          <w:rFonts w:ascii="Times New Roman" w:cs="Times New Roman" w:eastAsia="Times New Roman" w:hAnsi="Times New Roman"/>
          <w:sz w:val="21"/>
          <w:szCs w:val="21"/>
        </w:rPr>
        <w:t xml:space="preserve">Two developments in India's digital public infrastructure make an alternative approach feasible. First, the Unified Payments Interface (UPI) has become a near-universal, low-friction channel for retail and peer-to-peer digital payments, so that even workers with no bank-mediated credit history now generate a continuous, timestamped digital trail of inflows and outflows. Second, mobile connectivity is close to ubiquitous, and recharge or top-up behaviour — how often, how much, and how regularly a worker recharges a prepaid connection — is a light-weight behavioural signal that has been shown elsewhere in the literature to correlate with income regularity and repayment discipline. The proposed system combines these two data modalities into a single, explainable creditworthiness score in the 0–100 range, intended to support — not replace — a micro-loan eligibility decision.</w:t>
      </w:r>
    </w:p>
    <w:p>
      <w:pPr>
        <w:spacing w:after="160" w:line="276"/>
        <w:jc w:val="both"/>
      </w:pPr>
      <w:r>
        <w:rPr>
          <w:rFonts w:ascii="Times New Roman" w:cs="Times New Roman" w:eastAsia="Times New Roman" w:hAnsi="Times New Roman"/>
          <w:sz w:val="21"/>
          <w:szCs w:val="21"/>
        </w:rPr>
        <w:t xml:space="preserve">The contribution of this paper is threefold. First, it formalises the problem of informal-worker income verification as an alternative-data scoring problem and situates it precisely within the wider literature on mobile-data and digital-payment credit scoring, distinguishing it from adjacent work on MSME scoring, bank-statement scoring, and bureau-based scoring. Second, it specifies an end-to-end system architecture and methodology — from consented data acquisition through feature engineering, gradient-boosted scoring, SHAP-based explanation, and API-based delivery — in enough technical detail that the pipeline could be implemented and evaluated by another research group. Third, and consistent with the project's current stage of development, it explicitly separates what has been designed and reviewed against the literature (the architecture, feature categories, and evaluation protocol) from what remains to be executed (data acquisition, model training, and empirical validation), so that no performance claim is made without supporting evidence. The remainder of the paper is organised as follows. Section II reviews related work; Section III derives the research gap; Sections IV and V state the problem and objectives; Sections VI–XII describe the proposed architecture, methodology, algorithms, dataset plan, preprocessing plan, feature engineering, and implementation; Sections XIII–XVI describe the experimental protocol, evaluation metrics, and (in lieu of results) the design-stage output specification and qualitative comparison; Sections XVII–XXI discuss the approach, its advantages, limitations, applications, and future work; and Section XXII concludes.</w:t>
      </w:r>
    </w:p>
    <w:p>
      <w:pPr>
        <w:spacing w:after="160" w:line="276"/>
        <w:jc w:val="both"/>
      </w:pPr>
      <w:r>
        <w:rPr>
          <w:rFonts w:ascii="Times New Roman" w:cs="Times New Roman" w:eastAsia="Times New Roman" w:hAnsi="Times New Roman"/>
          <w:sz w:val="21"/>
          <w:szCs w:val="21"/>
        </w:rPr>
        <w:t xml:space="preserve">The system is aligned with United Nations Sustainable Development Goal 1 (No Poverty) and Goal 8 (Decent Work and Economic Growth), insofar as it targets collateral-free, documentation-light access to formal micro-credit for a population that is economically active but currently under-served by mainstream lenders.</w:t>
      </w:r>
    </w:p>
    <w:p>
      <w:pPr>
        <w:spacing w:after="160" w:before="320"/>
      </w:pPr>
      <w:r>
        <w:rPr>
          <w:rFonts w:ascii="Times New Roman" w:cs="Times New Roman" w:eastAsia="Times New Roman" w:hAnsi="Times New Roman"/>
          <w:b/>
          <w:bCs/>
          <w:sz w:val="22"/>
          <w:szCs w:val="22"/>
        </w:rPr>
        <w:t xml:space="preserve">II. BACKGROUND AND RELATED WORK</w:t>
      </w:r>
    </w:p>
    <w:p>
      <w:pPr>
        <w:spacing w:after="100" w:before="200"/>
      </w:pPr>
      <w:r>
        <w:rPr>
          <w:rFonts w:ascii="Times New Roman" w:cs="Times New Roman" w:eastAsia="Times New Roman" w:hAnsi="Times New Roman"/>
          <w:b/>
          <w:bCs/>
          <w:i/>
          <w:iCs/>
          <w:sz w:val="21"/>
          <w:szCs w:val="21"/>
        </w:rPr>
        <w:t xml:space="preserve">A. Traditional and Statistical Credit Scoring</w:t>
      </w:r>
    </w:p>
    <w:p>
      <w:pPr>
        <w:spacing w:after="160" w:line="276"/>
        <w:jc w:val="both"/>
      </w:pPr>
      <w:r>
        <w:rPr>
          <w:rFonts w:ascii="Times New Roman" w:cs="Times New Roman" w:eastAsia="Times New Roman" w:hAnsi="Times New Roman"/>
          <w:sz w:val="21"/>
          <w:szCs w:val="21"/>
        </w:rPr>
        <w:t xml:space="preserve">Classical credit scoring relies on structured bureau data — repayment history, outstanding balances, and demographic variables — summarised through logistic-regression scorecards. Such methods are well calibrated for borrowers who already possess a credit file, but by construction they cannot score a “thin-file” or “no-file” applicant, which is precisely the population targeted by the proposed system.</w:t>
      </w:r>
    </w:p>
    <w:p>
      <w:pPr>
        <w:spacing w:after="100" w:before="200"/>
      </w:pPr>
      <w:r>
        <w:rPr>
          <w:rFonts w:ascii="Times New Roman" w:cs="Times New Roman" w:eastAsia="Times New Roman" w:hAnsi="Times New Roman"/>
          <w:b/>
          <w:bCs/>
          <w:i/>
          <w:iCs/>
          <w:sz w:val="21"/>
          <w:szCs w:val="21"/>
        </w:rPr>
        <w:t xml:space="preserve">B. Mobile Phone Usage and Digital-Footprint Credit Scoring</w:t>
      </w:r>
    </w:p>
    <w:p>
      <w:pPr>
        <w:spacing w:after="160" w:line="276"/>
        <w:jc w:val="both"/>
      </w:pPr>
      <w:r>
        <w:rPr>
          <w:rFonts w:ascii="Times New Roman" w:cs="Times New Roman" w:eastAsia="Times New Roman" w:hAnsi="Times New Roman"/>
          <w:sz w:val="21"/>
          <w:szCs w:val="21"/>
        </w:rPr>
        <w:t xml:space="preserve">A body of work has examined whether mobile phone metadata can substitute for bureau history. Ots, Liiv, and Tur [3] used call-detail and top-up records from 2,503 customers and reported that even a comparatively small mobile-usage dataset could support credit-risk classification, though the best model achieved a modest area under the ROC curve (AUC) of approximately 0.62, underscoring that phone-usage signals alone are a weak-to-moderate predictor relative to transaction-level financial data. Björkegren and Grissen [7] similarly showed, using call-detail records, that behavioural regularity captured in mobile usage predicts loan repayment, motivating the use of regularity-style features — the same design principle applied here to UPI and recharge data rather than to voice-call metadata.</w:t>
      </w:r>
    </w:p>
    <w:p>
      <w:pPr>
        <w:spacing w:after="100" w:before="200"/>
      </w:pPr>
      <w:r>
        <w:rPr>
          <w:rFonts w:ascii="Times New Roman" w:cs="Times New Roman" w:eastAsia="Times New Roman" w:hAnsi="Times New Roman"/>
          <w:b/>
          <w:bCs/>
          <w:i/>
          <w:iCs/>
          <w:sz w:val="21"/>
          <w:szCs w:val="21"/>
        </w:rPr>
        <w:t xml:space="preserve">C. Credit Scoring for Informal and Merchant Populations</w:t>
      </w:r>
    </w:p>
    <w:p>
      <w:pPr>
        <w:spacing w:after="160" w:line="276"/>
        <w:jc w:val="both"/>
      </w:pPr>
      <w:r>
        <w:rPr>
          <w:rFonts w:ascii="Times New Roman" w:cs="Times New Roman" w:eastAsia="Times New Roman" w:hAnsi="Times New Roman"/>
          <w:sz w:val="21"/>
          <w:szCs w:val="21"/>
        </w:rPr>
        <w:t xml:space="preserve">Closest in population to the proposed system is recent work on informal African merchants. A 2025 study modelled loan default for informal merchants in Lesotho using transaction and loan data obtained from a partnering fintech company, evaluating six logistic-regression and twelve support-vector-machine configurations [5]. That study demonstrates the feasibility of scoring informal merchants from proprietary transaction data, but it relies on data access arranged through a single fintech partner, uses classical (non-tree-ensemble) models without a stated explainability layer, and targets a retail-merchant population and currency context distinct from India's daily-wage and gig-worker segment.</w:t>
      </w:r>
    </w:p>
    <w:p>
      <w:pPr>
        <w:spacing w:after="100" w:before="200"/>
      </w:pPr>
      <w:r>
        <w:rPr>
          <w:rFonts w:ascii="Times New Roman" w:cs="Times New Roman" w:eastAsia="Times New Roman" w:hAnsi="Times New Roman"/>
          <w:b/>
          <w:bCs/>
          <w:i/>
          <w:iCs/>
          <w:sz w:val="21"/>
          <w:szCs w:val="21"/>
        </w:rPr>
        <w:t xml:space="preserve">D. India-Specific Digital-Payment and Alternative-Data Credit Models</w:t>
      </w:r>
    </w:p>
    <w:p>
      <w:pPr>
        <w:spacing w:after="160" w:line="276"/>
        <w:jc w:val="both"/>
      </w:pPr>
      <w:r>
        <w:rPr>
          <w:rFonts w:ascii="Times New Roman" w:cs="Times New Roman" w:eastAsia="Times New Roman" w:hAnsi="Times New Roman"/>
          <w:sz w:val="21"/>
          <w:szCs w:val="21"/>
        </w:rPr>
        <w:t xml:space="preserve">Several recent studies examine India specifically. Alok, Ghosh, Kulkarni, and Puri [2] use loan-level data covering the universe of consumer credit to show that the launch of UPI increased financial deepening and allowed new-to-credit borrowers to access formal loans, with fintech lenders — unlike banks — extending credit to genuinely new borrowers; this macro-level evidence motivates UPI activity as a credit-relevant signal but does not itself propose a scoring model. Ranjan [1] proposes a UPI Credit Risk Intelligence Index built on five dimensions of UPI activity (transaction volume, payment regularity, financial stability, counterparty diversity, and resource stability) analysed through an explainable-AI framework, which is conceptually close to the proposed system's feature categories but is framed for the general retail-lending population rather than specifically for informal, daily-wage, or gig workers. Yadav, Pandey, and Mishra [11] develop an AI-based alternative credit-scoring prototype for both individual borrowers and MSMEs in India, trained on 5,000 synthetic records per segment using calibrated Gradient Boosting classifiers with Isotonic Regression, reporting AUC values of 0.765 (individual) and 0.784 (MSME), SHAP-proxy explainability, a three-tier probability-of-default decision framework, and a Disparate Impact Ratio fairness dashboard aligned with the Reserve Bank of India's FREE-AI framework. This is the most architecturally similar prior system to the proposed system and is used as the primary literature benchmark in Section XV; however, it is validated only on synthetic data, targets individual retail borrowers and MSMEs rather than the informal daily-wage/gig segment, and does not use mobile recharge behaviour as a feature source.</w:t>
      </w:r>
    </w:p>
    <w:p>
      <w:pPr>
        <w:spacing w:after="100" w:before="200"/>
      </w:pPr>
      <w:r>
        <w:rPr>
          <w:rFonts w:ascii="Times New Roman" w:cs="Times New Roman" w:eastAsia="Times New Roman" w:hAnsi="Times New Roman"/>
          <w:b/>
          <w:bCs/>
          <w:i/>
          <w:iCs/>
          <w:sz w:val="21"/>
          <w:szCs w:val="21"/>
        </w:rPr>
        <w:t xml:space="preserve">E. Ethical and Policy Perspectives on Alternative Data</w:t>
      </w:r>
    </w:p>
    <w:p>
      <w:pPr>
        <w:spacing w:after="160" w:line="276"/>
        <w:jc w:val="both"/>
      </w:pPr>
      <w:r>
        <w:rPr>
          <w:rFonts w:ascii="Times New Roman" w:cs="Times New Roman" w:eastAsia="Times New Roman" w:hAnsi="Times New Roman"/>
          <w:sz w:val="21"/>
          <w:szCs w:val="21"/>
        </w:rPr>
        <w:t xml:space="preserve">Alongside empirical scoring systems, a policy-oriented literature examines how alternative data can be used responsibly. “From Data to Dignity” [6] surveys secondary literature, policy documents, and fintech case studies to argue that AI and alternative data can make credit scoring more inclusive across rural populations, women, small businesses, and informal workers in India, while also cautioning that such systems can create new social and ethical harms if deployed without safeguards; being a conceptual/policy synthesis rather than a deployable system, it does not propose a specific feature set or model, but it directly motivates the consent-based design and human-review tier adopted in Sections VII and XVII. Complementary evidence on the specific value of non-call-detail-record (non-CDR) mobile data for credit scoring [4] reinforces the choice, in Section XI, to draw on recharge behaviour rather than voice/call metadata as the mobile-derived signal for the proposed system.</w:t>
      </w:r>
    </w:p>
    <w:p>
      <w:pPr>
        <w:spacing w:after="100" w:before="200"/>
      </w:pPr>
      <w:r>
        <w:rPr>
          <w:rFonts w:ascii="Times New Roman" w:cs="Times New Roman" w:eastAsia="Times New Roman" w:hAnsi="Times New Roman"/>
          <w:b/>
          <w:bCs/>
          <w:i/>
          <w:iCs/>
          <w:sz w:val="21"/>
          <w:szCs w:val="21"/>
        </w:rPr>
        <w:t xml:space="preserve">F. Alternative Data Beyond India</w:t>
      </w:r>
    </w:p>
    <w:p>
      <w:pPr>
        <w:spacing w:after="160" w:line="276"/>
        <w:jc w:val="both"/>
      </w:pPr>
      <w:r>
        <w:rPr>
          <w:rFonts w:ascii="Times New Roman" w:cs="Times New Roman" w:eastAsia="Times New Roman" w:hAnsi="Times New Roman"/>
          <w:sz w:val="21"/>
          <w:szCs w:val="21"/>
        </w:rPr>
        <w:t xml:space="preserve">Outside India, Ng et al. [9] propose AI-BAAM, a bank-statement-analytics pipeline for Malaysian MSME credit scoring built on a novel dataset of 611 loan applicants, reporting an AUROC of 0.806 when bank-transaction-derived features are combined with application information — a 24.6% improvement over application-only models. Denknalbant, Sezdi, and Kutlu [8] construct a large synthetic dataset of 100,000 Istanbul residents calibrated against national census and telecom statistics to study credit-risk estimation from non-financial and telecom-usage features using CatBoost, LightGBM, and XGBoost, reporting that adding alternative attributes raises balanced F1 from approximately 0.84 to 0.95. Both studies confirm, in different geographies, that gradient-boosted tree ensembles applied to alternative behavioural data outperform demographic-only baselines — supporting the model choice made in Section VIII — but neither targets India's UPI/recharge data modality or the informal-worker population.</w:t>
      </w:r>
    </w:p>
    <w:p>
      <w:pPr>
        <w:spacing w:after="100" w:before="200"/>
      </w:pPr>
      <w:r>
        <w:rPr>
          <w:rFonts w:ascii="Times New Roman" w:cs="Times New Roman" w:eastAsia="Times New Roman" w:hAnsi="Times New Roman"/>
          <w:b/>
          <w:bCs/>
          <w:i/>
          <w:iCs/>
          <w:sz w:val="21"/>
          <w:szCs w:val="21"/>
        </w:rPr>
        <w:t xml:space="preserve">G. Explainability and Model Choice</w:t>
      </w:r>
    </w:p>
    <w:p>
      <w:pPr>
        <w:spacing w:after="160" w:line="276"/>
        <w:jc w:val="both"/>
      </w:pPr>
      <w:r>
        <w:rPr>
          <w:rFonts w:ascii="Times New Roman" w:cs="Times New Roman" w:eastAsia="Times New Roman" w:hAnsi="Times New Roman"/>
          <w:sz w:val="21"/>
          <w:szCs w:val="21"/>
        </w:rPr>
        <w:t xml:space="preserve">The explainability requirement in the proposed system follows Lundberg and Lee's SHAP (SHapley Additive exPlanations) framework [13], which attributes a model's prediction to individual input features using Shapley values from cooperative game theory, and is the dominant explainability method used across the reviewed alternative-credit-scoring literature [1], [11]. The scoring model itself is proposed as XGBoost [12], a scalable gradient-boosted decision-tree implementation that is the most frequently reported top-performing model family across the surveyed studies [8], [9], [11] for structured, tabular, behavioural-feature datasets of the size typically available in this domain.</w:t>
      </w:r>
    </w:p>
    <w:p>
      <w:pPr>
        <w:spacing w:after="100" w:before="200"/>
      </w:pPr>
      <w:r>
        <w:rPr>
          <w:rFonts w:ascii="Times New Roman" w:cs="Times New Roman" w:eastAsia="Times New Roman" w:hAnsi="Times New Roman"/>
          <w:b/>
          <w:bCs/>
          <w:i/>
          <w:iCs/>
          <w:sz w:val="21"/>
          <w:szCs w:val="21"/>
        </w:rPr>
        <w:t xml:space="preserve">H. Summary Comparison</w:t>
      </w:r>
    </w:p>
    <w:p>
      <w:pPr>
        <w:spacing w:after="160" w:line="276"/>
        <w:jc w:val="both"/>
        <w:sectPr>
          <w:type w:val="continuous"/>
          <w:pgSz w:w="12240" w:h="15840" w:orient="portrait"/>
          <w:pgMar w:top="1080" w:right="900" w:bottom="1440" w:left="900" w:header="708" w:footer="708" w:gutter="0"/>
          <w:pgNumType/>
          <w:cols w:num="2" w:space="360"/>
          <w:docGrid w:linePitch="360"/>
        </w:sectPr>
      </w:pPr>
      <w:r>
        <w:rPr>
          <w:rFonts w:ascii="Times New Roman" w:cs="Times New Roman" w:eastAsia="Times New Roman" w:hAnsi="Times New Roman"/>
          <w:sz w:val="21"/>
          <w:szCs w:val="21"/>
        </w:rPr>
        <w:t xml:space="preserve">Table I summarises the four most closely related efforts against the system proposed in this paper along population, data modality, and core problem framing, extending the comparative literature review conducted during the project's design phase.</w:t>
      </w:r>
    </w:p>
    <w:p>
      <w:pPr>
        <w:spacing w:after="240" w:before="100"/>
        <w:jc w:val="center"/>
      </w:pPr>
      <w:r>
        <w:rPr>
          <w:rFonts w:ascii="Times New Roman" w:cs="Times New Roman" w:eastAsia="Times New Roman" w:hAnsi="Times New Roman"/>
          <w:i/>
          <w:iCs/>
          <w:sz w:val="18"/>
          <w:szCs w:val="18"/>
        </w:rPr>
        <w:t xml:space="preserve">TABLE I. QUALITATIVE COMPARISON OF RELATED ALTERNATIVE CREDIT-SCORING EFFORTS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1800"/>
      </w:tblGrid>
      <w:tr>
        <w:trPr>
          <w:cantSplit/>
          <w:tblHeader/>
        </w:trPr>
        <w:tc>
          <w:tcPr>
            <w:tcW w:type="dxa" w:w="15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Dimension</w:t>
            </w:r>
          </w:p>
        </w:tc>
        <w:tc>
          <w:tcPr>
            <w:tcW w:type="dxa" w:w="19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Lesotho Merchant Scoring [5]</w:t>
            </w:r>
          </w:p>
        </w:tc>
        <w:tc>
          <w:tcPr>
            <w:tcW w:type="dxa" w:w="19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Alok et al., UPI &amp; Credit Access [2]</w:t>
            </w:r>
          </w:p>
        </w:tc>
        <w:tc>
          <w:tcPr>
            <w:tcW w:type="dxa" w:w="19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Yadav et al., India MSME/Individual [11]</w:t>
            </w:r>
          </w:p>
        </w:tc>
        <w:tc>
          <w:tcPr>
            <w:tcW w:type="dxa" w:w="18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Proposed System</w:t>
            </w:r>
          </w:p>
        </w:tc>
      </w:tr>
      <w:tr>
        <w:trPr>
          <w:cantSplit/>
        </w:trPr>
        <w:tc>
          <w:tcPr>
            <w:tcW w:type="dxa" w:w="1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Main goal</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Predict default risk of informal merchants</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Measure macro impact of UPI on credit access</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Prototype AI credit scoring for MSMEs and individuals</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Score repayment capacity of informal/gig workers for micro-loan eligibility</w:t>
            </w:r>
          </w:p>
        </w:tc>
      </w:tr>
      <w:tr>
        <w:trPr>
          <w:cantSplit/>
        </w:trPr>
        <w:tc>
          <w:tcPr>
            <w:tcW w:type="dxa" w:w="1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Target users</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Informal merchants, Lesotho</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General UPI-using consumer-credit borrowers, India</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Individual borrowers and MSMEs, India</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Street vendors, daily-wage and gig workers, India</w:t>
            </w:r>
          </w:p>
        </w:tc>
      </w:tr>
      <w:tr>
        <w:trPr>
          <w:cantSplit/>
        </w:trPr>
        <w:tc>
          <w:tcPr>
            <w:tcW w:type="dxa" w:w="1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Core data</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Fintech-partner transaction and loan data</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Universe of consumer-loan and payments data</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Synthetic borrower/MSME records (5,000 each)</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UPI transaction history and mobile recharge behaviour</w:t>
            </w:r>
          </w:p>
        </w:tc>
      </w:tr>
      <w:tr>
        <w:trPr>
          <w:cantSplit/>
        </w:trPr>
        <w:tc>
          <w:tcPr>
            <w:tcW w:type="dxa" w:w="1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Model / method</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Logistic regression, SVM</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Empirical/econometric analysis (not a scoring model)</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Gradient Boosting with Isotonic calibration</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XGBoost with SHAP explanation (proposed)</w:t>
            </w:r>
          </w:p>
        </w:tc>
      </w:tr>
      <w:tr>
        <w:trPr>
          <w:cantSplit/>
        </w:trPr>
        <w:tc>
          <w:tcPr>
            <w:tcW w:type="dxa" w:w="1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Explainability</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Not reported</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Not applicable</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SHAP-proxy</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SHAP, natively integrated with deployed score</w:t>
            </w:r>
          </w:p>
        </w:tc>
      </w:tr>
      <w:tr>
        <w:trPr>
          <w:cantSplit/>
        </w:trPr>
        <w:tc>
          <w:tcPr>
            <w:tcW w:type="dxa" w:w="1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Deployment</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Not reported</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Not applicable</w:t>
            </w:r>
          </w:p>
        </w:tc>
        <w:tc>
          <w:tcPr>
            <w:tcW w:type="dxa" w:w="19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Prototype / research system</w:t>
            </w:r>
          </w:p>
        </w:tc>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FastAPI service with worker-facing consent UI (proposed)</w:t>
            </w:r>
          </w:p>
        </w:tc>
      </w:tr>
    </w:tbl>
    <w:p>
      <w:pPr>
        <w:sectPr>
          <w:type w:val="continuous"/>
          <w:pgSz w:w="12240" w:h="15840" w:orient="portrait"/>
          <w:pgMar w:top="1080" w:right="900" w:bottom="1440" w:left="900" w:header="708" w:footer="708" w:gutter="0"/>
          <w:pgNumType/>
          <w:docGrid w:linePitch="360"/>
        </w:sectPr>
      </w:pPr>
    </w:p>
    <w:p>
      <w:pPr>
        <w:spacing w:after="160" w:before="320"/>
      </w:pPr>
      <w:r>
        <w:rPr>
          <w:rFonts w:ascii="Times New Roman" w:cs="Times New Roman" w:eastAsia="Times New Roman" w:hAnsi="Times New Roman"/>
          <w:b/>
          <w:bCs/>
          <w:sz w:val="22"/>
          <w:szCs w:val="22"/>
        </w:rPr>
        <w:t xml:space="preserve">III. RESEARCH GAP</w:t>
      </w:r>
    </w:p>
    <w:p>
      <w:pPr>
        <w:spacing w:after="160" w:line="276"/>
        <w:jc w:val="both"/>
      </w:pPr>
      <w:r>
        <w:rPr>
          <w:rFonts w:ascii="Times New Roman" w:cs="Times New Roman" w:eastAsia="Times New Roman" w:hAnsi="Times New Roman"/>
          <w:sz w:val="21"/>
          <w:szCs w:val="21"/>
        </w:rPr>
        <w:t xml:space="preserve">The literature reviewed in Section II establishes that (i) mobile-usage and digital-footprint data carry real, if variable, predictive signal for credit risk [3], [7]; (ii) gradient-boosted tree ensembles combined with SHAP explanations are the current state of practice for alternative credit scoring in both Indian and non-Indian settings [1], [8], [9], [11]; and (iii) India's digital-payment infrastructure (UPI) is already documented to expand credit access at a macro level [2]. However, three gaps remain unaddressed by existing work. First, no reviewed study combines UPI transaction behaviour with mobile recharge behaviour specifically as a joint feature source; recharge regularity is a lighter-weight, more universally available signal than bank-statement or GST data and has not been evaluated in this combination. Second, existing India-specific prototypes [1], [11] are designed around individual retail borrowers or MSMEs in general, rather than the specific sub-population of daily-wage workers, street vendors, and gig workers who typically have thinner, more irregular, and lower-value transaction histories than a registered MSME or a salaried retail borrower; feature engineering and score calibration tuned for MSMEs may not transfer to this thinner-data regime. Third, none of the reviewed systems specify an explicit, worker-facing, consent-driven delivery pipeline exposing both the score and its explanation through a live API; most are evaluated as offline research prototypes. The proposed system is positioned to close these three gaps jointly, though — consistent with Section XV — this paper reports the design intended to close them rather than a completed empirical validation.</w:t>
      </w:r>
    </w:p>
    <w:p>
      <w:pPr>
        <w:spacing w:after="160" w:before="320"/>
      </w:pPr>
      <w:r>
        <w:rPr>
          <w:rFonts w:ascii="Times New Roman" w:cs="Times New Roman" w:eastAsia="Times New Roman" w:hAnsi="Times New Roman"/>
          <w:b/>
          <w:bCs/>
          <w:sz w:val="22"/>
          <w:szCs w:val="22"/>
        </w:rPr>
        <w:t xml:space="preserve">IV. PROBLEM STATEMENT</w:t>
      </w:r>
    </w:p>
    <w:p>
      <w:pPr>
        <w:spacing w:after="160" w:line="276"/>
        <w:jc w:val="both"/>
      </w:pPr>
      <w:r>
        <w:rPr>
          <w:rFonts w:ascii="Times New Roman" w:cs="Times New Roman" w:eastAsia="Times New Roman" w:hAnsi="Times New Roman"/>
          <w:sz w:val="21"/>
          <w:szCs w:val="21"/>
        </w:rPr>
        <w:t xml:space="preserve">Daily-wage workers, street vendors, and gig workers cannot access formal credit because banks require salary slips or income-tax returns that this population structurally does not possess. Their creditworthiness is therefore unmeasured rather than genuinely absent. The problem addressed by this project is: given a worker's UPI transaction history and mobile recharge history, and given no access to a salary slip, ITR, or bureau file, can an explainable model estimate the worker's repayment capacity accurately enough to support a micro-loan eligibility decision, while communicating the basis for that estimate in terms a non-technical worker and a loan officer can both act on?</w:t>
      </w:r>
    </w:p>
    <w:p>
      <w:pPr>
        <w:spacing w:after="160" w:before="320"/>
      </w:pPr>
      <w:r>
        <w:rPr>
          <w:rFonts w:ascii="Times New Roman" w:cs="Times New Roman" w:eastAsia="Times New Roman" w:hAnsi="Times New Roman"/>
          <w:b/>
          <w:bCs/>
          <w:sz w:val="22"/>
          <w:szCs w:val="22"/>
        </w:rPr>
        <w:t xml:space="preserve">V. OBJECTIVES</w:t>
      </w:r>
    </w:p>
    <w:p>
      <w:pPr>
        <w:pStyle w:val="ListParagraph"/>
        <w:numPr>
          <w:ilvl w:val="0"/>
          <w:numId w:val="2"/>
        </w:numPr>
        <w:spacing w:after="80"/>
      </w:pPr>
      <w:r>
        <w:rPr>
          <w:rFonts w:ascii="Times New Roman" w:cs="Times New Roman" w:eastAsia="Times New Roman" w:hAnsi="Times New Roman"/>
          <w:sz w:val="21"/>
          <w:szCs w:val="21"/>
        </w:rPr>
        <w:t xml:space="preserve">To design a consent-based data-acquisition process for UPI transaction history and mobile recharge history that respects the worker's ownership of their financial data.</w:t>
      </w:r>
    </w:p>
    <w:p>
      <w:pPr>
        <w:pStyle w:val="ListParagraph"/>
        <w:numPr>
          <w:ilvl w:val="0"/>
          <w:numId w:val="2"/>
        </w:numPr>
        <w:spacing w:after="80"/>
      </w:pPr>
      <w:r>
        <w:rPr>
          <w:rFonts w:ascii="Times New Roman" w:cs="Times New Roman" w:eastAsia="Times New Roman" w:hAnsi="Times New Roman"/>
          <w:sz w:val="21"/>
          <w:szCs w:val="21"/>
        </w:rPr>
        <w:t xml:space="preserve">To engineer behavioural features — organised around transaction frequency, payment regularity, and inflow/outflow volume trends — that act as a proxy for income stability in the absence of formal income documentation.</w:t>
      </w:r>
    </w:p>
    <w:p>
      <w:pPr>
        <w:pStyle w:val="ListParagraph"/>
        <w:numPr>
          <w:ilvl w:val="0"/>
          <w:numId w:val="2"/>
        </w:numPr>
        <w:spacing w:after="80"/>
      </w:pPr>
      <w:r>
        <w:rPr>
          <w:rFonts w:ascii="Times New Roman" w:cs="Times New Roman" w:eastAsia="Times New Roman" w:hAnsi="Times New Roman"/>
          <w:sz w:val="21"/>
          <w:szCs w:val="21"/>
        </w:rPr>
        <w:t xml:space="preserve">To develop a gradient-boosted (XGBoost) scoring model that maps these features to a 0–100 creditworthiness score and a corresponding decision tier.</w:t>
      </w:r>
    </w:p>
    <w:p>
      <w:pPr>
        <w:pStyle w:val="ListParagraph"/>
        <w:numPr>
          <w:ilvl w:val="0"/>
          <w:numId w:val="2"/>
        </w:numPr>
        <w:spacing w:after="80"/>
      </w:pPr>
      <w:r>
        <w:rPr>
          <w:rFonts w:ascii="Times New Roman" w:cs="Times New Roman" w:eastAsia="Times New Roman" w:hAnsi="Times New Roman"/>
          <w:sz w:val="21"/>
          <w:szCs w:val="21"/>
        </w:rPr>
        <w:t xml:space="preserve">To integrate SHAP-based explainability so that every score is accompanied by 3–5 ranked contributing factors expressed in plain language, together with actionable improvement suggestions.</w:t>
      </w:r>
    </w:p>
    <w:p>
      <w:pPr>
        <w:pStyle w:val="ListParagraph"/>
        <w:numPr>
          <w:ilvl w:val="0"/>
          <w:numId w:val="2"/>
        </w:numPr>
        <w:spacing w:after="80"/>
      </w:pPr>
      <w:r>
        <w:rPr>
          <w:rFonts w:ascii="Times New Roman" w:cs="Times New Roman" w:eastAsia="Times New Roman" w:hAnsi="Times New Roman"/>
          <w:sz w:val="21"/>
          <w:szCs w:val="21"/>
        </w:rPr>
        <w:t xml:space="preserve">To expose the scoring pipeline through a FastAPI backend and a worker-facing web interface that displays the score, its explanation, and the worker's consent status, within a defined score-validity window.</w:t>
      </w:r>
    </w:p>
    <w:p>
      <w:pPr>
        <w:pStyle w:val="ListParagraph"/>
        <w:numPr>
          <w:ilvl w:val="0"/>
          <w:numId w:val="2"/>
        </w:numPr>
        <w:spacing w:after="80"/>
      </w:pPr>
      <w:r>
        <w:rPr>
          <w:rFonts w:ascii="Times New Roman" w:cs="Times New Roman" w:eastAsia="Times New Roman" w:hAnsi="Times New Roman"/>
          <w:sz w:val="21"/>
          <w:szCs w:val="21"/>
        </w:rPr>
        <w:t xml:space="preserve">To evaluate the resulting model against standard discrimination, calibration, and fairness metrics, and to benchmark it qualitatively and (once trained) quantitatively against the literature reviewed in Section II.</w:t>
      </w:r>
    </w:p>
    <w:p>
      <w:pPr>
        <w:spacing w:after="160" w:before="320"/>
      </w:pPr>
      <w:r>
        <w:rPr>
          <w:rFonts w:ascii="Times New Roman" w:cs="Times New Roman" w:eastAsia="Times New Roman" w:hAnsi="Times New Roman"/>
          <w:b/>
          <w:bCs/>
          <w:sz w:val="22"/>
          <w:szCs w:val="22"/>
        </w:rPr>
        <w:t xml:space="preserve">VI. PROPOSED SYSTEM ARCHITECTURE</w:t>
      </w:r>
    </w:p>
    <w:p>
      <w:pPr>
        <w:spacing w:after="160" w:line="276"/>
        <w:jc w:val="both"/>
      </w:pPr>
      <w:r>
        <w:rPr>
          <w:rFonts w:ascii="Times New Roman" w:cs="Times New Roman" w:eastAsia="Times New Roman" w:hAnsi="Times New Roman"/>
          <w:sz w:val="21"/>
          <w:szCs w:val="21"/>
        </w:rPr>
        <w:t xml:space="preserve">The proposed system follows a layered, independently testable pipeline, illustrated in Fig. 1, in which each stage consumes the output of the previous stage through a well-defined interface. This allows each layer — data ingestion, feature engineering, scoring, explanation, and delivery — to be developed, tested, and later replaced independently.</w:t>
      </w:r>
    </w:p>
    <w:p>
      <w:pPr>
        <w:spacing w:after="40" w:before="120"/>
        <w:jc w:val="center"/>
      </w:pPr>
      <w:r>
        <w:drawing>
          <wp:inline distT="0" distB="0" distL="0" distR="0">
            <wp:extent cx="2857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905125"/>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18"/>
          <w:szCs w:val="18"/>
        </w:rPr>
        <w:t xml:space="preserve">Fig. 1. Overall architecture of the proposed system: data sources feed a feature-engineering stage, which supplies an XGBoost scoring model; a SHAP explainer attaches feature-level reasons to the score; a FastAPI backend serves the score and explanation; and a consent-gated web frontend presents the result to the worker. (Reproduced from the project's design diagram, 2026.)</w:t>
      </w:r>
    </w:p>
    <w:p>
      <w:pPr>
        <w:spacing w:after="160" w:line="276"/>
        <w:jc w:val="both"/>
      </w:pPr>
      <w:r>
        <w:rPr>
          <w:rFonts w:ascii="Times New Roman" w:cs="Times New Roman" w:eastAsia="Times New Roman" w:hAnsi="Times New Roman"/>
          <w:sz w:val="21"/>
          <w:szCs w:val="21"/>
        </w:rPr>
        <w:t xml:space="preserve">The six stages are as follows. (1) Data sources: consented UPI transaction statements and mobile recharge history, acquired directly from the worker or, in a production deployment, through a regulated consent-based channel such as India's Account Aggregator framework. (2) Feature engineering: derivation of frequency, regularity, and volume-trend features from raw transaction and recharge records (Section XI). (3) Model: an XGBoost gradient-boosted-tree classifier/regressor that maps the engineered feature vector to a default-risk probability, from which the 0–100 score is derived (Section VIII). (4) Explainer: a SHAP module that decomposes the score into per-feature contributions, producing the 3–5 top contributing factors and plain-language improvement tips. (5) Backend: a FastAPI service exposing endpoints that accept a worker or partner-application request and return the score, decision tier, explanation, and a time-bound validity window. (6) Frontend: a lightweight web interface through which the worker grants consent, views their own score in simplified language, and sees their consent status; the frontend is implemented in React (see Table IV, item 5).</w:t>
      </w:r>
    </w:p>
    <w:p>
      <w:pPr>
        <w:spacing w:after="160" w:before="320"/>
      </w:pPr>
      <w:r>
        <w:rPr>
          <w:rFonts w:ascii="Times New Roman" w:cs="Times New Roman" w:eastAsia="Times New Roman" w:hAnsi="Times New Roman"/>
          <w:b/>
          <w:bCs/>
          <w:sz w:val="22"/>
          <w:szCs w:val="22"/>
        </w:rPr>
        <w:t xml:space="preserve">VII. DETAILED METHODOLOGY</w:t>
      </w:r>
    </w:p>
    <w:p>
      <w:pPr>
        <w:spacing w:after="100" w:before="200"/>
      </w:pPr>
      <w:r>
        <w:rPr>
          <w:rFonts w:ascii="Times New Roman" w:cs="Times New Roman" w:eastAsia="Times New Roman" w:hAnsi="Times New Roman"/>
          <w:b/>
          <w:bCs/>
          <w:i/>
          <w:iCs/>
          <w:sz w:val="21"/>
          <w:szCs w:val="21"/>
        </w:rPr>
        <w:t xml:space="preserve">A. Consent and Data Acquisition</w:t>
      </w:r>
    </w:p>
    <w:p>
      <w:pPr>
        <w:spacing w:after="160" w:line="276"/>
        <w:jc w:val="both"/>
      </w:pPr>
      <w:r>
        <w:rPr>
          <w:rFonts w:ascii="Times New Roman" w:cs="Times New Roman" w:eastAsia="Times New Roman" w:hAnsi="Times New Roman"/>
          <w:sz w:val="21"/>
          <w:szCs w:val="21"/>
        </w:rPr>
        <w:t xml:space="preserve">Before any data is processed, the worker must grant explicit, revocable consent, consistent with India's Digital Personal Data Protection Act, 2023, and with the principle — used elsewhere in the Indian alternative-scoring literature [11] — that consent-based, purpose-limited data sharing is a precondition for regulator-aligned deployment. Two data streams are collected under this consent: (i) UPI transaction statements, containing timestamped inflow and outflow amounts and counterparty identifiers where available; and (ii) mobile recharge history, containing timestamped recharge amounts and, where available, plan/validity metadata.</w:t>
      </w:r>
    </w:p>
    <w:p>
      <w:pPr>
        <w:spacing w:after="100" w:before="200"/>
      </w:pPr>
      <w:r>
        <w:rPr>
          <w:rFonts w:ascii="Times New Roman" w:cs="Times New Roman" w:eastAsia="Times New Roman" w:hAnsi="Times New Roman"/>
          <w:b/>
          <w:bCs/>
          <w:i/>
          <w:iCs/>
          <w:sz w:val="21"/>
          <w:szCs w:val="21"/>
        </w:rPr>
        <w:t xml:space="preserve">B. Feature Engineering</w:t>
      </w:r>
    </w:p>
    <w:p>
      <w:pPr>
        <w:spacing w:after="160" w:line="276"/>
        <w:jc w:val="both"/>
      </w:pPr>
      <w:r>
        <w:rPr>
          <w:rFonts w:ascii="Times New Roman" w:cs="Times New Roman" w:eastAsia="Times New Roman" w:hAnsi="Times New Roman"/>
          <w:sz w:val="21"/>
          <w:szCs w:val="21"/>
        </w:rPr>
        <w:t xml:space="preserve">Raw transaction and recharge logs are aggregated into a fixed-length feature vector per worker over a trailing observation window (e.g., the preceding 90–180 days; the exact window is a hyperparameter to be tuned empirically once data is available, and is not fixed a priori in the current design). Features fall into the three categories identified in the architecture diagram (Fig. 1) — frequency, regularity, and volume trend — and are detailed in Table III (Section XI).</w:t>
      </w:r>
    </w:p>
    <w:p>
      <w:pPr>
        <w:spacing w:after="100" w:before="200"/>
      </w:pPr>
      <w:r>
        <w:rPr>
          <w:rFonts w:ascii="Times New Roman" w:cs="Times New Roman" w:eastAsia="Times New Roman" w:hAnsi="Times New Roman"/>
          <w:b/>
          <w:bCs/>
          <w:i/>
          <w:iCs/>
          <w:sz w:val="21"/>
          <w:szCs w:val="21"/>
        </w:rPr>
        <w:t xml:space="preserve">C. Scoring Model and Score Mapping</w:t>
      </w:r>
    </w:p>
    <w:p>
      <w:pPr>
        <w:spacing w:after="160" w:line="276"/>
        <w:jc w:val="both"/>
      </w:pPr>
      <w:r>
        <w:rPr>
          <w:rFonts w:ascii="Times New Roman" w:cs="Times New Roman" w:eastAsia="Times New Roman" w:hAnsi="Times New Roman"/>
          <w:sz w:val="21"/>
          <w:szCs w:val="21"/>
        </w:rPr>
        <w:t xml:space="preserve">The engineered feature vector x is passed to an XGBoost model that outputs a predicted probability of default, p̂(x) ∈ [0,1], estimated as described in Section VIII. The 0–100 creditworthiness score S is obtained by an affine, monotonically decreasing transform of the predicted default probability,</w:t>
      </w:r>
    </w:p>
    <w:p>
      <w:pPr>
        <w:spacing w:after="160"/>
        <w:jc w:val="center"/>
      </w:pPr>
      <w:r>
        <w:rPr>
          <w:rFonts w:ascii="Times New Roman" w:cs="Times New Roman" w:eastAsia="Times New Roman" w:hAnsi="Times New Roman"/>
          <w:i/>
          <w:iCs/>
          <w:sz w:val="21"/>
          <w:szCs w:val="21"/>
        </w:rPr>
        <w:t xml:space="preserve">S(x) = 100 × (1 − p̂(x))</w:t>
      </w:r>
      <w:r>
        <w:rPr>
          <w:rFonts w:ascii="Times New Roman" w:cs="Times New Roman" w:eastAsia="Times New Roman" w:hAnsi="Times New Roman"/>
          <w:sz w:val="21"/>
          <w:szCs w:val="21"/>
        </w:rPr>
        <w:t xml:space="preserve">                 (1)</w:t>
      </w:r>
    </w:p>
    <w:p>
      <w:pPr>
        <w:spacing w:after="160" w:line="276"/>
        <w:jc w:val="both"/>
      </w:pPr>
      <w:r>
        <w:rPr>
          <w:rFonts w:ascii="Times New Roman" w:cs="Times New Roman" w:eastAsia="Times New Roman" w:hAnsi="Times New Roman"/>
          <w:sz w:val="21"/>
          <w:szCs w:val="21"/>
        </w:rPr>
        <w:t xml:space="preserve">so that a low predicted default probability corresponds to a high score. The score is then mapped to a three-tier decision as defined in the project's expected-output specification: Eligible for scores in [70, 100]; Review for scores in [40, 69]; and High risk for scores in [0, 39].</w:t>
      </w:r>
    </w:p>
    <w:p>
      <w:pPr>
        <w:spacing w:after="100" w:before="200"/>
      </w:pPr>
      <w:r>
        <w:rPr>
          <w:rFonts w:ascii="Times New Roman" w:cs="Times New Roman" w:eastAsia="Times New Roman" w:hAnsi="Times New Roman"/>
          <w:b/>
          <w:bCs/>
          <w:i/>
          <w:iCs/>
          <w:sz w:val="21"/>
          <w:szCs w:val="21"/>
        </w:rPr>
        <w:t xml:space="preserve">D. Explanation Generation</w:t>
      </w:r>
    </w:p>
    <w:p>
      <w:pPr>
        <w:spacing w:after="160" w:line="276"/>
        <w:jc w:val="both"/>
      </w:pPr>
      <w:r>
        <w:rPr>
          <w:rFonts w:ascii="Times New Roman" w:cs="Times New Roman" w:eastAsia="Times New Roman" w:hAnsi="Times New Roman"/>
          <w:sz w:val="21"/>
          <w:szCs w:val="21"/>
        </w:rPr>
        <w:t xml:space="preserve">For each scored worker, SHAP values φᵢ are computed for every input feature i, quantifying that feature's contribution to the deviation of the model's output from its expected (population-average) value (Section VIII-B). The explainer ranks features by |φᵢ| and reports the top 3–5 as the worker's leading contributing factors, each converted into a plain-language statement (e.g., “+18 points for consistent weekly inflow”), together with a small set of improvement tips generated from features with unfavourable SHAP contributions. Each score is issued with a time-bound validity window, after which it must be recomputed from a refreshed transaction and recharge window.</w:t>
      </w:r>
    </w:p>
    <w:p>
      <w:pPr>
        <w:spacing w:after="100" w:before="200"/>
      </w:pPr>
      <w:r>
        <w:rPr>
          <w:rFonts w:ascii="Times New Roman" w:cs="Times New Roman" w:eastAsia="Times New Roman" w:hAnsi="Times New Roman"/>
          <w:b/>
          <w:bCs/>
          <w:i/>
          <w:iCs/>
          <w:sz w:val="21"/>
          <w:szCs w:val="21"/>
        </w:rPr>
        <w:t xml:space="preserve">E. Serving and Presentation</w:t>
      </w:r>
    </w:p>
    <w:p>
      <w:pPr>
        <w:spacing w:after="160" w:line="276"/>
        <w:jc w:val="both"/>
      </w:pPr>
      <w:r>
        <w:rPr>
          <w:rFonts w:ascii="Times New Roman" w:cs="Times New Roman" w:eastAsia="Times New Roman" w:hAnsi="Times New Roman"/>
          <w:sz w:val="21"/>
          <w:szCs w:val="21"/>
        </w:rPr>
        <w:t xml:space="preserve">The trained model and explainer are wrapped by a FastAPI backend that exposes a scoring endpoint returning a structured response (score, tier, explanation list, improvement tips, validity window) as JSON. A worker-facing web frontend consumes this endpoint to present a simplified score view, the plain-language reasons, and the current consent status, without exposing the underlying model internals to the end user.</w:t>
      </w:r>
    </w:p>
    <w:p>
      <w:pPr>
        <w:spacing w:after="160" w:before="320"/>
      </w:pPr>
      <w:r>
        <w:rPr>
          <w:rFonts w:ascii="Times New Roman" w:cs="Times New Roman" w:eastAsia="Times New Roman" w:hAnsi="Times New Roman"/>
          <w:b/>
          <w:bCs/>
          <w:i/>
          <w:iCs/>
          <w:sz w:val="21"/>
          <w:szCs w:val="21"/>
        </w:rPr>
        <w:t xml:space="preserve">F. Illustrative Worked Example (Hypothetical, Not Measured Data)</w:t>
      </w:r>
    </w:p>
    <w:p>
      <w:pPr>
        <w:spacing w:after="160" w:line="276"/>
        <w:jc w:val="both"/>
      </w:pPr>
      <w:r>
        <w:rPr>
          <w:rFonts w:ascii="Times New Roman" w:cs="Times New Roman" w:eastAsia="Times New Roman" w:hAnsi="Times New Roman"/>
          <w:sz w:val="21"/>
          <w:szCs w:val="21"/>
        </w:rPr>
        <w:t xml:space="preserve">To make the abstract pipeline in Sections VII-B through VII-D concrete, this subsection walks through one hypothetical worker profile from raw behavioural features to a delivered explanation. Every value below is an illustrative placeholder chosen only to demonstrate how Eq. (1) and the explanation layer are intended to operate; none of it is a measured output of a trained model, consistent with the position taken in Section XV that no performance or score figure is reported until Section IX's dataset specification has actually been satisfied.</w:t>
      </w:r>
    </w:p>
    <w:p>
      <w:pPr>
        <w:spacing w:after="160" w:line="276"/>
        <w:jc w:val="both"/>
      </w:pPr>
      <w:r>
        <w:rPr>
          <w:rFonts w:ascii="Times New Roman" w:cs="Times New Roman" w:eastAsia="Times New Roman" w:hAnsi="Times New Roman"/>
          <w:sz w:val="21"/>
          <w:szCs w:val="21"/>
        </w:rPr>
        <w:t xml:space="preserve">Consider a hypothetical street vendor whose 90-day UPI and recharge history yields, for illustration only, 46 inbound UPI credits, a coefficient of variation of weekly inflow of 0.22 (Table III), and five on-time recharge top-ups per month with no lapse exceeding six days. If a trained XGBoost model were to map this feature vector to a predicted default probability p̂(x) = 0.18, Eq. (1) would convert this into a creditworthiness score of S(x) = 100 × (1 − 0.18) = 82, placing the worker in the Eligible tier defined in Section VII-C (scores in [70, 100]).</w:t>
      </w:r>
    </w:p>
    <w:p>
      <w:pPr>
        <w:spacing w:after="160" w:line="276"/>
        <w:jc w:val="both"/>
      </w:pPr>
      <w:r>
        <w:rPr>
          <w:rFonts w:ascii="Times New Roman" w:cs="Times New Roman" w:eastAsia="Times New Roman" w:hAnsi="Times New Roman"/>
          <w:sz w:val="21"/>
          <w:szCs w:val="21"/>
        </w:rPr>
        <w:t xml:space="preserve">The SHAP explainer (Section VII-D) would then decompose this hypothetical score into the plain-language contributing factors specified in Table V, for example:</w:t>
      </w:r>
    </w:p>
    <w:p>
      <w:pPr>
        <w:pStyle w:val="ListParagraph"/>
        <w:numPr>
          <w:ilvl w:val="0"/>
          <w:numId w:val="2"/>
        </w:numPr>
        <w:spacing w:after="80"/>
      </w:pPr>
      <w:r>
        <w:rPr>
          <w:rFonts w:ascii="Times New Roman" w:cs="Times New Roman" w:eastAsia="Times New Roman" w:hAnsi="Times New Roman"/>
          <w:sz w:val="21"/>
          <w:szCs w:val="21"/>
        </w:rPr>
        <w:t xml:space="preserve">+14 points for consistent weekly UPI inflow relative to the worker's own history</w:t>
      </w:r>
    </w:p>
    <w:p>
      <w:pPr>
        <w:pStyle w:val="ListParagraph"/>
        <w:numPr>
          <w:ilvl w:val="0"/>
          <w:numId w:val="2"/>
        </w:numPr>
        <w:spacing w:after="80"/>
      </w:pPr>
      <w:r>
        <w:rPr>
          <w:rFonts w:ascii="Times New Roman" w:cs="Times New Roman" w:eastAsia="Times New Roman" w:hAnsi="Times New Roman"/>
          <w:sz w:val="21"/>
          <w:szCs w:val="21"/>
        </w:rPr>
        <w:t xml:space="preserve">+9 points for zero recharge lapses over the 90-day window</w:t>
      </w:r>
    </w:p>
    <w:p>
      <w:pPr>
        <w:pStyle w:val="ListParagraph"/>
        <w:numPr>
          <w:ilvl w:val="0"/>
          <w:numId w:val="2"/>
        </w:numPr>
        <w:spacing w:after="80"/>
      </w:pPr>
      <w:r>
        <w:rPr>
          <w:rFonts w:ascii="Times New Roman" w:cs="Times New Roman" w:eastAsia="Times New Roman" w:hAnsi="Times New Roman"/>
          <w:sz w:val="21"/>
          <w:szCs w:val="21"/>
        </w:rPr>
        <w:t xml:space="preserve">−6 points for transaction volume below the peer-group median</w:t>
      </w:r>
    </w:p>
    <w:p>
      <w:pPr>
        <w:spacing w:after="160" w:line="276"/>
        <w:jc w:val="both"/>
      </w:pPr>
      <w:r>
        <w:rPr>
          <w:rFonts w:ascii="Times New Roman" w:cs="Times New Roman" w:eastAsia="Times New Roman" w:hAnsi="Times New Roman"/>
          <w:sz w:val="21"/>
          <w:szCs w:val="21"/>
        </w:rPr>
        <w:t xml:space="preserve">This worked path — feature vector, score, tier, and ranked explanation — is exactly the output contract specified in Table V; once a dataset satisfying Section IX is assembled and a model is trained (Section XIII), the same computation would be executed on real, measured features in place of the illustrative values shown here.</w:t>
      </w:r>
    </w:p>
    <w:p>
      <w:pPr>
        <w:spacing w:after="160" w:before="320"/>
      </w:pPr>
      <w:r>
        <w:rPr>
          <w:rFonts w:ascii="Times New Roman" w:cs="Times New Roman" w:eastAsia="Times New Roman" w:hAnsi="Times New Roman"/>
          <w:b/>
          <w:bCs/>
          <w:sz w:val="22"/>
          <w:szCs w:val="22"/>
        </w:rPr>
        <w:t xml:space="preserve">VIII. ALGORITHMS, MODELS, AND TECHNIQUES</w:t>
      </w:r>
    </w:p>
    <w:p>
      <w:pPr>
        <w:spacing w:after="100" w:before="200"/>
      </w:pPr>
      <w:r>
        <w:rPr>
          <w:rFonts w:ascii="Times New Roman" w:cs="Times New Roman" w:eastAsia="Times New Roman" w:hAnsi="Times New Roman"/>
          <w:b/>
          <w:bCs/>
          <w:i/>
          <w:iCs/>
          <w:sz w:val="21"/>
          <w:szCs w:val="21"/>
        </w:rPr>
        <w:t xml:space="preserve">A. XGBoost</w:t>
      </w:r>
    </w:p>
    <w:p>
      <w:pPr>
        <w:spacing w:after="160" w:line="276"/>
        <w:jc w:val="both"/>
      </w:pPr>
      <w:r>
        <w:rPr>
          <w:rFonts w:ascii="Times New Roman" w:cs="Times New Roman" w:eastAsia="Times New Roman" w:hAnsi="Times New Roman"/>
          <w:sz w:val="21"/>
          <w:szCs w:val="21"/>
        </w:rPr>
        <w:t xml:space="preserve">XGBoost [12] is a scalable, regularised implementation of gradient-boosted decision trees. Given a dataset of n feature vectors and labels {(xᵢ, yᵢ)}, XGBoost builds an additive ensemble of K regression trees fₖ, such that the predicted score for instance i is ŷᵢ = Σₖ fₖ(xᵢ), by minimising a regularised objective</w:t>
      </w:r>
    </w:p>
    <w:p>
      <w:pPr>
        <w:spacing w:after="160"/>
        <w:jc w:val="center"/>
      </w:pPr>
      <w:r>
        <w:rPr>
          <w:rFonts w:ascii="Times New Roman" w:cs="Times New Roman" w:eastAsia="Times New Roman" w:hAnsi="Times New Roman"/>
          <w:i/>
          <w:iCs/>
          <w:sz w:val="21"/>
          <w:szCs w:val="21"/>
        </w:rPr>
        <w:t xml:space="preserve">L(ϕ) = Σᵢ l(yᵢ, ŷᵢ) + Σₖ Ω(fₖ)</w:t>
      </w:r>
      <w:r>
        <w:rPr>
          <w:rFonts w:ascii="Times New Roman" w:cs="Times New Roman" w:eastAsia="Times New Roman" w:hAnsi="Times New Roman"/>
          <w:sz w:val="21"/>
          <w:szCs w:val="21"/>
        </w:rPr>
        <w:t xml:space="preserve">                 (2)</w:t>
      </w:r>
    </w:p>
    <w:p>
      <w:pPr>
        <w:spacing w:after="160" w:line="276"/>
        <w:jc w:val="both"/>
      </w:pPr>
      <w:r>
        <w:rPr>
          <w:rFonts w:ascii="Times New Roman" w:cs="Times New Roman" w:eastAsia="Times New Roman" w:hAnsi="Times New Roman"/>
          <w:sz w:val="21"/>
          <w:szCs w:val="21"/>
        </w:rPr>
        <w:t xml:space="preserve">where l is a differentiable convex loss function (for a binary default/no-default label, the logistic loss) and Ω penalises tree complexity — the number of leaves and the magnitude of leaf weights — to control overfitting. XGBoost was selected over a plain logistic-regression scorecard because the reviewed literature consistently reports gradient-boosted trees outperforming logistic baselines on this class of tabular, behavioural-feature credit-scoring problem [8], [9], [11], while remaining compatible with exact SHAP computation via its native tree-based explainer, unlike black-box deep models.</w:t>
      </w:r>
    </w:p>
    <w:p>
      <w:pPr>
        <w:spacing w:after="100" w:before="200"/>
      </w:pPr>
      <w:r>
        <w:rPr>
          <w:rFonts w:ascii="Times New Roman" w:cs="Times New Roman" w:eastAsia="Times New Roman" w:hAnsi="Times New Roman"/>
          <w:b/>
          <w:bCs/>
          <w:i/>
          <w:iCs/>
          <w:sz w:val="21"/>
          <w:szCs w:val="21"/>
        </w:rPr>
        <w:t xml:space="preserve">B. SHAP (SHapley Additive exPlanations)</w:t>
      </w:r>
    </w:p>
    <w:p>
      <w:pPr>
        <w:spacing w:after="160" w:line="276"/>
        <w:jc w:val="both"/>
      </w:pPr>
      <w:r>
        <w:rPr>
          <w:rFonts w:ascii="Times New Roman" w:cs="Times New Roman" w:eastAsia="Times New Roman" w:hAnsi="Times New Roman"/>
          <w:sz w:val="21"/>
          <w:szCs w:val="21"/>
        </w:rPr>
        <w:t xml:space="preserve">SHAP [13] assigns each feature i an attribution φᵢ for a given prediction f(x), defined via the Shapley value from cooperative game theory,</w:t>
      </w:r>
    </w:p>
    <w:p>
      <w:pPr>
        <w:spacing w:after="160"/>
        <w:jc w:val="center"/>
      </w:pPr>
      <w:r>
        <w:rPr>
          <w:rFonts w:ascii="Times New Roman" w:cs="Times New Roman" w:eastAsia="Times New Roman" w:hAnsi="Times New Roman"/>
          <w:i/>
          <w:iCs/>
          <w:sz w:val="20"/>
          <w:szCs w:val="20"/>
        </w:rPr>
        <w:t xml:space="preserve">φᵢ = Σ over S⊆N∖{i} of  [|S|!·(|N|−|S|−1)! / |N|!] · [f(S∪{i}) − f(S)]</w:t>
      </w:r>
      <w:r>
        <w:rPr>
          <w:rFonts w:ascii="Times New Roman" w:cs="Times New Roman" w:eastAsia="Times New Roman" w:hAnsi="Times New Roman"/>
          <w:sz w:val="20"/>
          <w:szCs w:val="20"/>
        </w:rPr>
        <w:t xml:space="preserve">     (3)</w:t>
      </w:r>
    </w:p>
    <w:p>
      <w:pPr>
        <w:spacing w:after="160" w:line="276"/>
        <w:jc w:val="both"/>
      </w:pPr>
      <w:r>
        <w:rPr>
          <w:rFonts w:ascii="Times New Roman" w:cs="Times New Roman" w:eastAsia="Times New Roman" w:hAnsi="Times New Roman"/>
          <w:sz w:val="21"/>
          <w:szCs w:val="21"/>
        </w:rPr>
        <w:t xml:space="preserve">where N is the full feature set and S ranges over all subsets not containing feature i. In practice, the model-specific TreeSHAP algorithm is used to compute exact Shapley values for tree ensembles in polynomial rather than exponential time, which is what makes SHAP computationally viable for a real-time FastAPI scoring endpoint. The additive property Σᵢ φᵢ = f(x) − E[f(x)] guarantees that the reported per-feature contributions sum exactly to the difference between the worker's score and the population-average score, which is the property exploited in Section VII-D to generate the “+18 for consistent weekly inflow” style of explanation.</w:t>
      </w:r>
    </w:p>
    <w:p>
      <w:pPr>
        <w:spacing w:after="100" w:before="200"/>
      </w:pPr>
      <w:r>
        <w:rPr>
          <w:rFonts w:ascii="Times New Roman" w:cs="Times New Roman" w:eastAsia="Times New Roman" w:hAnsi="Times New Roman"/>
          <w:b/>
          <w:bCs/>
          <w:i/>
          <w:iCs/>
          <w:sz w:val="21"/>
          <w:szCs w:val="21"/>
        </w:rPr>
        <w:t xml:space="preserve">C. Candidate Baseline Models</w:t>
      </w:r>
    </w:p>
    <w:p>
      <w:pPr>
        <w:spacing w:after="160" w:line="276"/>
        <w:jc w:val="both"/>
      </w:pPr>
      <w:r>
        <w:rPr>
          <w:rFonts w:ascii="Times New Roman" w:cs="Times New Roman" w:eastAsia="Times New Roman" w:hAnsi="Times New Roman"/>
          <w:sz w:val="21"/>
          <w:szCs w:val="21"/>
        </w:rPr>
        <w:t xml:space="preserve">For comparison purposes (Section XIII), a logistic-regression scorecard using the same engineered features is proposed as the classical baseline, consistent with the baseline used in the closest comparator study [11], which reported near-identical AUC between its Gradient Boosting and logistic-regression models on synthetic data — a result that should itself be re-examined once real behavioural data is available for the proposed system, since the gap between tree ensembles and linear baselines is known to widen on noisier, less separable real-world data.</w:t>
      </w:r>
    </w:p>
    <w:p>
      <w:pPr>
        <w:spacing w:after="160" w:before="320"/>
      </w:pPr>
      <w:r>
        <w:rPr>
          <w:rFonts w:ascii="Times New Roman" w:cs="Times New Roman" w:eastAsia="Times New Roman" w:hAnsi="Times New Roman"/>
          <w:b/>
          <w:bCs/>
          <w:sz w:val="22"/>
          <w:szCs w:val="22"/>
        </w:rPr>
        <w:t xml:space="preserve">IX. DATASET DESCRIPTION</w:t>
      </w:r>
    </w:p>
    <w:p>
      <w:pPr>
        <w:spacing w:after="160" w:line="276"/>
        <w:jc w:val="both"/>
        <w:sectPr>
          <w:type w:val="continuous"/>
          <w:pgSz w:w="12240" w:h="15840" w:orient="portrait"/>
          <w:pgMar w:top="1080" w:right="900" w:bottom="1440" w:left="900" w:header="708" w:footer="708" w:gutter="0"/>
          <w:pgNumType/>
          <w:cols w:num="2" w:space="360"/>
          <w:docGrid w:linePitch="360"/>
        </w:sectPr>
      </w:pPr>
      <w:r>
        <w:rPr>
          <w:rFonts w:ascii="Times New Roman" w:cs="Times New Roman" w:eastAsia="Times New Roman" w:hAnsi="Times New Roman"/>
          <w:sz w:val="21"/>
          <w:szCs w:val="21"/>
        </w:rPr>
        <w:t xml:space="preserve">This project specifies the two intended raw data modalities — UPI transaction history and mobile recharge history — and the general population of interest (daily-wage workers, street vendors, and gig workers), but a named, secured data-source partner has not yet been arranged. This paper commits to concrete design decisions for the remaining specification elements — a target sample size, a ground-truth label definition, an observation window, and a train/test split — summarised in Table II, so that the one genuinely open item is the data-sharing arrangement itself, not the methodology around it. Concretely: (i) the source of transaction and recharge records is intended to be either a data-sharing arrangement with a partner NBFC-MFI/NBFC (Table VII lists categories of candidate institutions operating in Karnataka) or access via India's UPI-linked Account Aggregator (AA) framework, with a synthetic-data protocol calibrated against published statistics, as used in comparable studies [8], [11], as a fallback if no live partnership can be arranged in time; (ii) the ground-truth label is defined as 90-day delinquency (no qualifying repayment received) on a pilot micro-loan product, observed from the disbursement date; (iii) the target is 5,000 worker profiles per class (10,000 total), matching the per-segment scale used in [11]; and (iv) the observation window is fixed at a trailing 90 days, to be widened to 180 days only if feature-stability analysis on real data warrants it. If a synthetic-data strategy is adopted, privacy-preserving synthetic-data training methods [10] should inform how closely the synthetic distribution may approximate identifiable real transaction patterns without disclosure risk, particularly since UPI and recharge records are personally identifiable financial data under the Digital Personal Data Protection Act, 2023. Table II summarises which of these elements are now fixed design decisions and which remain to be arranged before implementation can proceed.</w:t>
      </w:r>
    </w:p>
    <w:p>
      <w:pPr>
        <w:spacing w:after="240" w:before="100"/>
        <w:jc w:val="center"/>
      </w:pPr>
      <w:r>
        <w:rPr>
          <w:rFonts w:ascii="Times New Roman" w:cs="Times New Roman" w:eastAsia="Times New Roman" w:hAnsi="Times New Roman"/>
          <w:i/>
          <w:iCs/>
          <w:sz w:val="18"/>
          <w:szCs w:val="18"/>
        </w:rPr>
        <w:t xml:space="preserve">TABLE II. DATASET SPECIFICATION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cantSplit/>
          <w:tblHeader/>
        </w:trPr>
        <w:tc>
          <w:tcPr>
            <w:tcW w:type="dxa" w:w="20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Required element</w:t>
            </w:r>
          </w:p>
        </w:tc>
        <w:tc>
          <w:tcPr>
            <w:tcW w:type="dxa" w:w="35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Status in current project design</w:t>
            </w:r>
          </w:p>
        </w:tc>
        <w:tc>
          <w:tcPr>
            <w:tcW w:type="dxa" w:w="35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Action required before evaluation</w:t>
            </w:r>
          </w:p>
        </w:tc>
      </w:tr>
      <w:tr>
        <w:trPr>
          <w:cantSplit/>
        </w:trP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Data source / partner</w:t>
            </w:r>
          </w:p>
        </w:tc>
        <w:tc>
          <w:tcPr>
            <w:tcW w:type="dxa" w:w="3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Not yet secured. Intended approach: a data-sharing arrangement with a partner NBFC-MFI/NBFC (Table VII lists categories of candidate institutions), or access via India's Account Aggregator (AA) framework, or a calibrated synthetic-data protocol if no live partnership can be arranged in time</w:t>
            </w:r>
          </w:p>
        </w:tc>
        <w:tc>
          <w:tcPr>
            <w:tcW w:type="dxa" w:w="3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Identify a data-sharing partner (e.g., NBFC, Account Aggregator sandbox) or a synthetic-data protocol</w:t>
            </w:r>
          </w:p>
        </w:tc>
      </w:tr>
      <w:tr>
        <w:trPr>
          <w:cantSplit/>
        </w:trP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Sample size</w:t>
            </w:r>
          </w:p>
        </w:tc>
        <w:tc>
          <w:tcPr>
            <w:tcW w:type="dxa" w:w="3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Target: 5,000 worker profiles per class (10,000 total), matching the per-segment scale used in the closest comparator study [11]</w:t>
            </w:r>
          </w:p>
        </w:tc>
        <w:tc>
          <w:tcPr>
            <w:tcW w:type="dxa" w:w="3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Execute data collection against this target once a data source is secured (Section IX)</w:t>
            </w:r>
          </w:p>
        </w:tc>
      </w:tr>
      <w:tr>
        <w:trPr>
          <w:cantSplit/>
        </w:trP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Ground-truth label</w:t>
            </w:r>
          </w:p>
        </w:tc>
        <w:tc>
          <w:tcPr>
            <w:tcW w:type="dxa" w:w="3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Defined: 90-day delinquency (no qualifying repayment received) on a pilot micro-loan product, observed from the disbursement date</w:t>
            </w:r>
          </w:p>
        </w:tc>
        <w:tc>
          <w:tcPr>
            <w:tcW w:type="dxa" w:w="3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Confirm this definition with the eventual lending partner before dataset assembly, since a partner may define delinquency differently</w:t>
            </w:r>
          </w:p>
        </w:tc>
      </w:tr>
      <w:tr>
        <w:trPr>
          <w:cantSplit/>
        </w:trP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Observation window</w:t>
            </w:r>
          </w:p>
        </w:tc>
        <w:tc>
          <w:tcPr>
            <w:tcW w:type="dxa" w:w="3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Fixed: trailing 90-day window; may be widened to 180 days if feature-stability analysis on real data warrants it</w:t>
            </w:r>
          </w:p>
        </w:tc>
        <w:tc>
          <w:tcPr>
            <w:tcW w:type="dxa" w:w="3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Validate this window empirically via feature-stability analysis once real data is available</w:t>
            </w:r>
          </w:p>
        </w:tc>
      </w:tr>
      <w:tr>
        <w:trPr>
          <w:cantSplit/>
        </w:trPr>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Train / validation / test split</w:t>
            </w:r>
          </w:p>
        </w:tc>
        <w:tc>
          <w:tcPr>
            <w:tcW w:type="dxa" w:w="3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Defined: 80/20 stratified split with k-fold cross-validation within the training partition, following [11] (Section XIII)</w:t>
            </w:r>
          </w:p>
        </w:tc>
        <w:tc>
          <w:tcPr>
            <w:tcW w:type="dxa" w:w="35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Execute this split against the assembled dataset (Section XIII)</w:t>
            </w:r>
          </w:p>
        </w:tc>
      </w:tr>
    </w:tbl>
    <w:p>
      <w:pPr>
        <w:sectPr>
          <w:type w:val="continuous"/>
          <w:pgSz w:w="12240" w:h="15840" w:orient="portrait"/>
          <w:pgMar w:top="1080" w:right="900" w:bottom="1440" w:left="900" w:header="708" w:footer="708" w:gutter="0"/>
          <w:pgNumType/>
          <w:docGrid w:linePitch="360"/>
        </w:sectPr>
      </w:pPr>
    </w:p>
    <w:p>
      <w:pPr>
        <w:spacing w:after="160" w:line="276"/>
        <w:jc w:val="both"/>
      </w:pPr>
      <w:r>
        <w:rPr>
          <w:rFonts w:ascii="Times New Roman" w:cs="Times New Roman" w:eastAsia="Times New Roman" w:hAnsi="Times New Roman"/>
          <w:sz w:val="21"/>
          <w:szCs w:val="21"/>
        </w:rPr>
        <w:t xml:space="preserve">Until this specification is finalised and executed, any accuracy, AUC, or score-distribution figure reported for the proposed system would be fabricated; none is reported in this paper.</w:t>
      </w:r>
    </w:p>
    <w:p>
      <w:pPr>
        <w:spacing w:after="160" w:before="320"/>
      </w:pPr>
      <w:r>
        <w:rPr>
          <w:rFonts w:ascii="Times New Roman" w:cs="Times New Roman" w:eastAsia="Times New Roman" w:hAnsi="Times New Roman"/>
          <w:b/>
          <w:bCs/>
          <w:sz w:val="22"/>
          <w:szCs w:val="22"/>
        </w:rPr>
        <w:t xml:space="preserve">X. DATA PREPROCESSING (PLANNED)</w:t>
      </w:r>
    </w:p>
    <w:p>
      <w:pPr>
        <w:pStyle w:val="ListParagraph"/>
        <w:numPr>
          <w:ilvl w:val="0"/>
          <w:numId w:val="2"/>
        </w:numPr>
        <w:spacing w:after="80"/>
      </w:pPr>
      <w:r>
        <w:rPr>
          <w:rFonts w:ascii="Times New Roman" w:cs="Times New Roman" w:eastAsia="Times New Roman" w:hAnsi="Times New Roman"/>
          <w:sz w:val="21"/>
          <w:szCs w:val="21"/>
        </w:rPr>
        <w:t xml:space="preserve">Deduplication and reconciliation of overlapping UPI and recharge records, and removal of test/reversal transactions.</w:t>
      </w:r>
    </w:p>
    <w:p>
      <w:pPr>
        <w:pStyle w:val="ListParagraph"/>
        <w:numPr>
          <w:ilvl w:val="0"/>
          <w:numId w:val="2"/>
        </w:numPr>
        <w:spacing w:after="80"/>
      </w:pPr>
      <w:r>
        <w:rPr>
          <w:rFonts w:ascii="Times New Roman" w:cs="Times New Roman" w:eastAsia="Times New Roman" w:hAnsi="Times New Roman"/>
          <w:sz w:val="21"/>
          <w:szCs w:val="21"/>
        </w:rPr>
        <w:t xml:space="preserve">Handling of missing or sparse weeks — e.g., a worker with very few recorded transactions in the observation window — through explicit missingness indicators rather than silent imputation, given that data sparsity is itself informative for a thin-file population.</w:t>
      </w:r>
    </w:p>
    <w:p>
      <w:pPr>
        <w:pStyle w:val="ListParagraph"/>
        <w:numPr>
          <w:ilvl w:val="0"/>
          <w:numId w:val="2"/>
        </w:numPr>
        <w:spacing w:after="80"/>
      </w:pPr>
      <w:r>
        <w:rPr>
          <w:rFonts w:ascii="Times New Roman" w:cs="Times New Roman" w:eastAsia="Times New Roman" w:hAnsi="Times New Roman"/>
          <w:sz w:val="21"/>
          <w:szCs w:val="21"/>
        </w:rPr>
        <w:t xml:space="preserve">Normalisation or robust scaling of monetary features to reduce sensitivity to a small number of unusually large transactions.</w:t>
      </w:r>
    </w:p>
    <w:p>
      <w:pPr>
        <w:pStyle w:val="ListParagraph"/>
        <w:numPr>
          <w:ilvl w:val="0"/>
          <w:numId w:val="2"/>
        </w:numPr>
        <w:spacing w:after="80"/>
      </w:pPr>
      <w:r>
        <w:rPr>
          <w:rFonts w:ascii="Times New Roman" w:cs="Times New Roman" w:eastAsia="Times New Roman" w:hAnsi="Times New Roman"/>
          <w:sz w:val="21"/>
          <w:szCs w:val="21"/>
        </w:rPr>
        <w:t xml:space="preserve">Class-balance analysis and, if required, resampling or class-weighting, since eligible/high-risk labels are likely to be imbalanced in any real deployment population.</w:t>
      </w:r>
    </w:p>
    <w:p>
      <w:pPr>
        <w:pStyle w:val="ListParagraph"/>
        <w:numPr>
          <w:ilvl w:val="0"/>
          <w:numId w:val="2"/>
        </w:numPr>
        <w:spacing w:after="80"/>
      </w:pPr>
      <w:r>
        <w:rPr>
          <w:rFonts w:ascii="Times New Roman" w:cs="Times New Roman" w:eastAsia="Times New Roman" w:hAnsi="Times New Roman"/>
          <w:sz w:val="21"/>
          <w:szCs w:val="21"/>
        </w:rPr>
        <w:t xml:space="preserve">Stratified train/validation/test partitioning to avoid leakage of the same worker's records across splits.</w:t>
      </w:r>
    </w:p>
    <w:p>
      <w:pPr>
        <w:spacing w:after="160" w:line="276"/>
        <w:jc w:val="both"/>
      </w:pPr>
      <w:r>
        <w:rPr>
          <w:rFonts w:ascii="Times New Roman" w:cs="Times New Roman" w:eastAsia="Times New Roman" w:hAnsi="Times New Roman"/>
          <w:sz w:val="21"/>
          <w:szCs w:val="21"/>
        </w:rPr>
        <w:t xml:space="preserve">These steps are standard practice for tabular behavioural-data pipelines in the reviewed literature [8], [9], [11] and are presented here as the intended preprocessing plan; none has yet been executed against a concrete dataset (Section IX).</w:t>
      </w:r>
    </w:p>
    <w:p>
      <w:pPr>
        <w:spacing w:after="160" w:before="320"/>
      </w:pPr>
      <w:r>
        <w:rPr>
          <w:rFonts w:ascii="Times New Roman" w:cs="Times New Roman" w:eastAsia="Times New Roman" w:hAnsi="Times New Roman"/>
          <w:b/>
          <w:bCs/>
          <w:sz w:val="22"/>
          <w:szCs w:val="22"/>
        </w:rPr>
        <w:t xml:space="preserve">XI. FEATURE ENGINEERING</w:t>
      </w:r>
    </w:p>
    <w:p>
      <w:pPr>
        <w:spacing w:after="160" w:line="276"/>
        <w:jc w:val="both"/>
        <w:sectPr>
          <w:type w:val="continuous"/>
          <w:pgSz w:w="12240" w:h="15840" w:orient="portrait"/>
          <w:pgMar w:top="1080" w:right="900" w:bottom="1440" w:left="900" w:header="708" w:footer="708" w:gutter="0"/>
          <w:pgNumType/>
          <w:cols w:num="2" w:space="360"/>
          <w:docGrid w:linePitch="360"/>
        </w:sectPr>
      </w:pPr>
      <w:r>
        <w:rPr>
          <w:rFonts w:ascii="Times New Roman" w:cs="Times New Roman" w:eastAsia="Times New Roman" w:hAnsi="Times New Roman"/>
          <w:sz w:val="21"/>
          <w:szCs w:val="21"/>
        </w:rPr>
        <w:t xml:space="preserve">The architecture diagram (Fig. 1) specifies three feature categories — frequency, regularity, and volume trend — derived jointly from UPI and recharge logs. Table III proposes a concrete, illustrative feature set within these three categories, together with a fourth, affordability-oriented category that translates the parameters standard lender underwriting checks (income, expenses, existing debt, repayment capacity, business continuity) into behavioural proxies computable from the same UPI and recharge data, rather than requiring the salary slips, bank statements, or bureau records this population cannot produce. The final feature list is subject to revision once real data is available and feature-importance analysis (via SHAP, Section VIII-B) can be used to prune low-value features.</w:t>
      </w:r>
    </w:p>
    <w:p>
      <w:pPr>
        <w:spacing w:after="240" w:before="100"/>
        <w:jc w:val="center"/>
      </w:pPr>
      <w:r>
        <w:rPr>
          <w:rFonts w:ascii="Times New Roman" w:cs="Times New Roman" w:eastAsia="Times New Roman" w:hAnsi="Times New Roman"/>
          <w:i/>
          <w:iCs/>
          <w:sz w:val="18"/>
          <w:szCs w:val="18"/>
        </w:rPr>
        <w:t xml:space="preserve">TABLE III. PROPOSED FEATURE CATEGORIES AND ILLUSTRATIVE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00"/>
      </w:tblGrid>
      <w:tr>
        <w:trPr>
          <w:cantSplit/>
          <w:tblHeader/>
        </w:trPr>
        <w:tc>
          <w:tcPr>
            <w:tcW w:type="dxa" w:w="16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Category</w:t>
            </w:r>
          </w:p>
        </w:tc>
        <w:tc>
          <w:tcPr>
            <w:tcW w:type="dxa" w:w="38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Illustrative feature</w:t>
            </w:r>
          </w:p>
        </w:tc>
        <w:tc>
          <w:tcPr>
            <w:tcW w:type="dxa" w:w="36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Rationale</w:t>
            </w:r>
          </w:p>
        </w:tc>
      </w:tr>
      <w:tr>
        <w:trPr>
          <w:cantSplit/>
        </w:trP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Frequency</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UPI transactions per week; recharge events per month</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Higher, sustained activity suggests an economically active, digitally engaged worker</w:t>
            </w:r>
          </w:p>
        </w:tc>
      </w:tr>
      <w:tr>
        <w:trPr>
          <w:cantSplit/>
        </w:trP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Frequency</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Distinct counterparties per month</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Diversity of payment relationships as a proxy for a broader income base</w:t>
            </w:r>
          </w:p>
        </w:tc>
      </w:tr>
      <w:tr>
        <w:trPr>
          <w:cantSplit/>
        </w:trP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Regularity</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Coefficient of variation of weekly inflow</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Low variability suggests a stable, predictable income pattern</w:t>
            </w:r>
          </w:p>
        </w:tc>
      </w:tr>
      <w:tr>
        <w:trPr>
          <w:cantSplit/>
        </w:trP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Regularity</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Recharge interval consistency (std. dev. of days between recharges)</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Regular recharge cycles proxy for disciplined cash-flow management</w:t>
            </w:r>
          </w:p>
        </w:tc>
      </w:tr>
      <w:tr>
        <w:trPr>
          <w:cantSplit/>
        </w:trP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Volume trend</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3-month moving average of net inflow</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Captures whether income is growing, stable, or declining</w:t>
            </w:r>
          </w:p>
        </w:tc>
      </w:tr>
      <w:tr>
        <w:trPr>
          <w:cantSplit/>
        </w:trP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Volume trend</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Inflow-to-outflow ratio</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A sustained surplus indicates repayment capacity</w:t>
            </w:r>
          </w:p>
        </w:tc>
      </w:tr>
      <w:tr>
        <w:trPr>
          <w:cantSplit/>
        </w:trP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Volume trend</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Recharge amount trend</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Rising average recharge spend can proxy for improving discretionary income</w:t>
            </w:r>
          </w:p>
        </w:tc>
      </w:tr>
      <w:tr>
        <w:trPr>
          <w:cantSplit/>
        </w:trP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Affordability</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Estimated monthly income (sum of UPI credit inflows over the observation window, monthly average)</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Direct behavioural proxy for the “income” parameter that every reviewed lender assessment methodology checks first</w:t>
            </w:r>
          </w:p>
        </w:tc>
      </w:tr>
      <w:tr>
        <w:trPr>
          <w:cantSplit/>
        </w:trP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Affordability</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Estimated monthly expenses (sum of UPI debit outflows over the observation window, monthly average)</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Proxy for household/business outgoings; combined with income, gives an estimated disposable surplus</w:t>
            </w:r>
          </w:p>
        </w:tc>
      </w:tr>
      <w:tr>
        <w:trPr>
          <w:cantSplit/>
        </w:trP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Affordability</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Recurring fixed-amount, fixed-interval debit pattern (candidate existing-EMI signature)</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Behavioural proxy for existing loan or recharge-plan repayment obligations, since these often recur at a fixed amount and interval in UPI debit history</w:t>
            </w:r>
          </w:p>
        </w:tc>
      </w:tr>
      <w:tr>
        <w:trPr>
          <w:cantSplit/>
        </w:trP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Affordability</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Estimated disposable surplus (estimated income − estimated expenses − candidate existing-EMI signature)</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Directly supports the repayment-affordability flag in Table V and the RBI 50%-of-household-income affordability ceiling (Section XVII)</w:t>
            </w:r>
          </w:p>
        </w:tc>
      </w:tr>
      <w:tr>
        <w:trPr>
          <w:cantSplit/>
        </w:trP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Affordability</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Business/account activity span (days between the earliest and most recent recorded UPI transaction)</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Behavioural proxy for business or income-source continuity, a criterion used across the reviewed lender assessment methodologies</w:t>
            </w:r>
          </w:p>
        </w:tc>
      </w:tr>
    </w:tbl>
    <w:p>
      <w:pPr>
        <w:sectPr>
          <w:type w:val="continuous"/>
          <w:pgSz w:w="12240" w:h="15840" w:orient="portrait"/>
          <w:pgMar w:top="1080" w:right="900" w:bottom="1440" w:left="900" w:header="708" w:footer="708" w:gutter="0"/>
          <w:pgNumType/>
          <w:docGrid w:linePitch="360"/>
        </w:sectPr>
      </w:pPr>
    </w:p>
    <w:p>
      <w:pPr>
        <w:spacing w:after="160" w:before="320"/>
      </w:pPr>
      <w:r>
        <w:rPr>
          <w:rFonts w:ascii="Times New Roman" w:cs="Times New Roman" w:eastAsia="Times New Roman" w:hAnsi="Times New Roman"/>
          <w:b/>
          <w:bCs/>
          <w:sz w:val="22"/>
          <w:szCs w:val="22"/>
        </w:rPr>
        <w:t xml:space="preserve">XII. SYSTEM DEVELOPMENT AND IMPLEMENTATION DETAILS</w:t>
      </w:r>
    </w:p>
    <w:p>
      <w:pPr>
        <w:spacing w:after="160" w:line="276"/>
        <w:jc w:val="both"/>
      </w:pPr>
      <w:r>
        <w:rPr>
          <w:rFonts w:ascii="Times New Roman" w:cs="Times New Roman" w:eastAsia="Times New Roman" w:hAnsi="Times New Roman"/>
          <w:sz w:val="21"/>
          <w:szCs w:val="21"/>
        </w:rPr>
        <w:t xml:space="preserve">The proposed implementation stack follows directly from the architecture in Fig. 1: a Python-based machine-learning pipeline (pandas-style feature engineering, an XGBoost model, and the SHAP library for explanation) wrapped by a FastAPI backend, which exposes a REST endpoint returning the score, tier, explanation, and validity window as JSON. A React-based web frontend consumes this endpoint to present the consent flow and the worker-facing score view. Version control and collaboration are managed through a public GitHub repository, https://github.com/InformalToFormal, with public read access confirmed by the team.</w:t>
      </w:r>
    </w:p>
    <w:p>
      <w:pPr>
        <w:spacing w:after="160" w:line="276"/>
        <w:jc w:val="both"/>
        <w:sectPr>
          <w:type w:val="continuous"/>
          <w:pgSz w:w="12240" w:h="15840" w:orient="portrait"/>
          <w:pgMar w:top="1080" w:right="900" w:bottom="1440" w:left="900" w:header="708" w:footer="708" w:gutter="0"/>
          <w:pgNumType/>
          <w:cols w:num="2" w:space="360"/>
          <w:docGrid w:linePitch="360"/>
        </w:sectPr>
      </w:pPr>
      <w:r>
        <w:rPr>
          <w:rFonts w:ascii="Times New Roman" w:cs="Times New Roman" w:eastAsia="Times New Roman" w:hAnsi="Times New Roman"/>
          <w:sz w:val="21"/>
          <w:szCs w:val="21"/>
        </w:rPr>
        <w:t xml:space="preserve">Table IV lists the implementation components as currently specified and flags those that require confirmation.</w:t>
      </w:r>
    </w:p>
    <w:p>
      <w:pPr>
        <w:spacing w:after="240" w:before="100"/>
        <w:jc w:val="center"/>
      </w:pPr>
      <w:r>
        <w:rPr>
          <w:rFonts w:ascii="Times New Roman" w:cs="Times New Roman" w:eastAsia="Times New Roman" w:hAnsi="Times New Roman"/>
          <w:i/>
          <w:iCs/>
          <w:sz w:val="18"/>
          <w:szCs w:val="18"/>
        </w:rPr>
        <w:t xml:space="preserve">TABLE IV. IMPLEMENTATION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00"/>
      </w:tblGrid>
      <w:tr>
        <w:trPr>
          <w:cantSplit/>
          <w:tblHeader/>
        </w:trPr>
        <w:tc>
          <w:tcPr>
            <w:tcW w:type="dxa" w:w="26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Component</w:t>
            </w:r>
          </w:p>
        </w:tc>
        <w:tc>
          <w:tcPr>
            <w:tcW w:type="dxa" w:w="38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Proposed technology</w:t>
            </w:r>
          </w:p>
        </w:tc>
        <w:tc>
          <w:tcPr>
            <w:tcW w:type="dxa" w:w="26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Status</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Feature engineering / ML pipeline</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Python (pandas, scikit-learn-compatible tooling)</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Specified in principle; not yet implemented</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Scoring model</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XGBoost</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Specified in architecture diagram</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Explainability</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SHAP (TreeSHAP)</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Specified in architecture diagram</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Backend / API</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FastAPI</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Specified in project problem statement and architecture</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Frontend</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React (JavaScript) web frontend</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Specified in architecture; implementation pending</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Version control</w:t>
            </w:r>
          </w:p>
        </w:tc>
        <w:tc>
          <w:tcPr>
            <w:tcW w:type="dxa" w:w="3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GitHub (https://github.com/InformalToFormal)</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Public repository, verified accessible</w:t>
            </w:r>
          </w:p>
        </w:tc>
      </w:tr>
    </w:tbl>
    <w:p>
      <w:pPr>
        <w:sectPr>
          <w:type w:val="continuous"/>
          <w:pgSz w:w="12240" w:h="15840" w:orient="portrait"/>
          <w:pgMar w:top="1080" w:right="900" w:bottom="1440" w:left="900" w:header="708" w:footer="708" w:gutter="0"/>
          <w:pgNumType/>
          <w:docGrid w:linePitch="360"/>
        </w:sectPr>
      </w:pPr>
    </w:p>
    <w:p>
      <w:pPr>
        <w:spacing w:after="160" w:before="320"/>
      </w:pPr>
      <w:r>
        <w:rPr>
          <w:rFonts w:ascii="Times New Roman" w:cs="Times New Roman" w:eastAsia="Times New Roman" w:hAnsi="Times New Roman"/>
          <w:b/>
          <w:bCs/>
          <w:sz w:val="22"/>
          <w:szCs w:val="22"/>
        </w:rPr>
        <w:t xml:space="preserve">XIII. EXPERIMENTAL SETUP (PROPOSED PROTOCOL)</w:t>
      </w:r>
    </w:p>
    <w:p>
      <w:pPr>
        <w:spacing w:after="160" w:line="276"/>
        <w:jc w:val="both"/>
      </w:pPr>
      <w:r>
        <w:rPr>
          <w:rFonts w:ascii="Times New Roman" w:cs="Times New Roman" w:eastAsia="Times New Roman" w:hAnsi="Times New Roman"/>
          <w:sz w:val="21"/>
          <w:szCs w:val="21"/>
        </w:rPr>
        <w:t xml:space="preserve">Once a dataset satisfying the specification in Section IX is available, the following protocol is proposed. The dataset is partitioned using a stratified split (e.g., 80% training, 20% held-out testing, with k-fold cross-validation within the training partition for hyperparameter selection), following the validation methodology used in the closest comparator study [11]. The XGBoost model's hyperparameters (tree depth, learning rate, number of estimators, subsampling ratio, and regularisation terms) are proposed to be tuned via cross-validated grid or randomised search, optimising primarily for AUC with Brier score monitored as a secondary calibration objective. The logistic-regression scorecard described in Section VIII-C is trained as a baseline under an identical feature set and split, to isolate the contribution of the gradient-boosted model itself. All reported results (once available) should specify the exact split, random seed, and hyperparameter configuration to support reproducibility, none of which can be meaningfully fixed in advance of seeing the actual data distribution.</w:t>
      </w:r>
    </w:p>
    <w:p>
      <w:pPr>
        <w:spacing w:after="160" w:before="320"/>
      </w:pPr>
      <w:r>
        <w:rPr>
          <w:rFonts w:ascii="Times New Roman" w:cs="Times New Roman" w:eastAsia="Times New Roman" w:hAnsi="Times New Roman"/>
          <w:b/>
          <w:bCs/>
          <w:sz w:val="22"/>
          <w:szCs w:val="22"/>
        </w:rPr>
        <w:t xml:space="preserve">XIV. EVALUATION METRICS</w:t>
      </w:r>
    </w:p>
    <w:p>
      <w:pPr>
        <w:pStyle w:val="ListParagraph"/>
        <w:numPr>
          <w:ilvl w:val="0"/>
          <w:numId w:val="2"/>
        </w:numPr>
        <w:spacing w:after="80"/>
      </w:pPr>
      <w:r>
        <w:rPr>
          <w:rFonts w:ascii="Times New Roman" w:cs="Times New Roman" w:eastAsia="Times New Roman" w:hAnsi="Times New Roman"/>
          <w:sz w:val="21"/>
          <w:szCs w:val="21"/>
        </w:rPr>
        <w:t xml:space="preserve">Discrimination: Area Under the ROC Curve (AUC), precision, recall, and F1-score for the eligible/high-risk classification implied by the decision tiers.</w:t>
      </w:r>
    </w:p>
    <w:p>
      <w:pPr>
        <w:pStyle w:val="ListParagraph"/>
        <w:numPr>
          <w:ilvl w:val="0"/>
          <w:numId w:val="2"/>
        </w:numPr>
        <w:spacing w:after="80"/>
      </w:pPr>
      <w:r>
        <w:rPr>
          <w:rFonts w:ascii="Times New Roman" w:cs="Times New Roman" w:eastAsia="Times New Roman" w:hAnsi="Times New Roman"/>
          <w:sz w:val="21"/>
          <w:szCs w:val="21"/>
        </w:rPr>
        <w:t xml:space="preserve">Calibration: Brier score and a reliability (calibration) curve, given that the 0–100 score is presented to workers and loan officers as if it were a well-calibrated probability-derived quantity, following the calibration emphasis of the closest comparator study [11].</w:t>
      </w:r>
    </w:p>
    <w:p>
      <w:pPr>
        <w:pStyle w:val="ListParagraph"/>
        <w:numPr>
          <w:ilvl w:val="0"/>
          <w:numId w:val="2"/>
        </w:numPr>
        <w:spacing w:after="80"/>
      </w:pPr>
      <w:r>
        <w:rPr>
          <w:rFonts w:ascii="Times New Roman" w:cs="Times New Roman" w:eastAsia="Times New Roman" w:hAnsi="Times New Roman"/>
          <w:sz w:val="21"/>
          <w:szCs w:val="21"/>
        </w:rPr>
        <w:t xml:space="preserve">Explainability quality: qualitative review of SHAP-based explanations for consistency and plausibility (e.g., do favourable explanations correspond to genuinely favourable behaviour), since no standard quantitative ground truth for “explanation correctness” exists in this literature.</w:t>
      </w:r>
    </w:p>
    <w:p>
      <w:pPr>
        <w:pStyle w:val="ListParagraph"/>
        <w:numPr>
          <w:ilvl w:val="0"/>
          <w:numId w:val="2"/>
        </w:numPr>
        <w:spacing w:after="80"/>
      </w:pPr>
      <w:r>
        <w:rPr>
          <w:rFonts w:ascii="Times New Roman" w:cs="Times New Roman" w:eastAsia="Times New Roman" w:hAnsi="Times New Roman"/>
          <w:sz w:val="21"/>
          <w:szCs w:val="21"/>
        </w:rPr>
        <w:t xml:space="preserve">Fairness: a Disparate Impact Ratio across income bands or worker categories, in the acceptable range of 0.80–1.25 used in the RBI FREE-AI-aligned literature [11], to check that lower approval rates for a subgroup are justified by genuinely higher default rates rather than by a proxy for a protected characteristic.</w:t>
      </w:r>
    </w:p>
    <w:p>
      <w:pPr>
        <w:pStyle w:val="ListParagraph"/>
        <w:numPr>
          <w:ilvl w:val="0"/>
          <w:numId w:val="2"/>
        </w:numPr>
        <w:spacing w:after="80"/>
      </w:pPr>
      <w:r>
        <w:rPr>
          <w:rFonts w:ascii="Times New Roman" w:cs="Times New Roman" w:eastAsia="Times New Roman" w:hAnsi="Times New Roman"/>
          <w:sz w:val="21"/>
          <w:szCs w:val="21"/>
        </w:rPr>
        <w:t xml:space="preserve">Operational: FastAPI endpoint response latency, to confirm the pipeline is usable in a real-time loan-officer or worker-facing workflow.</w:t>
      </w:r>
    </w:p>
    <w:p>
      <w:pPr>
        <w:spacing w:after="160" w:before="320"/>
      </w:pPr>
      <w:r>
        <w:rPr>
          <w:rFonts w:ascii="Times New Roman" w:cs="Times New Roman" w:eastAsia="Times New Roman" w:hAnsi="Times New Roman"/>
          <w:b/>
          <w:bCs/>
          <w:sz w:val="22"/>
          <w:szCs w:val="22"/>
        </w:rPr>
        <w:t xml:space="preserve">XV. RESULTS AND ANALYSIS</w:t>
      </w:r>
    </w:p>
    <w:p>
      <w:pPr>
        <w:spacing w:after="160" w:line="276"/>
        <w:jc w:val="both"/>
        <w:sectPr>
          <w:type w:val="continuous"/>
          <w:pgSz w:w="12240" w:h="15840" w:orient="portrait"/>
          <w:pgMar w:top="1080" w:right="900" w:bottom="1440" w:left="900" w:header="708" w:footer="708" w:gutter="0"/>
          <w:pgNumType/>
          <w:cols w:num="2" w:space="360"/>
          <w:docGrid w:linePitch="360"/>
        </w:sectPr>
      </w:pPr>
      <w:r>
        <w:rPr>
          <w:rFonts w:ascii="Times New Roman" w:cs="Times New Roman" w:eastAsia="Times New Roman" w:hAnsi="Times New Roman"/>
          <w:sz w:val="21"/>
          <w:szCs w:val="21"/>
        </w:rPr>
        <w:t xml:space="preserve">At the current early-stage design phase, no dataset satisfying Section IX has been assembled, no model has been trained, and consequently no accuracy, AUC, Brier score, or other empirical performance figure exists for the proposed system. Reporting a specific number here without a trained model behind it would constitute fabricated evidence, which this paper explicitly avoids. What can legitimately be reported at this stage is the designed output contract that the trained system is intended to produce, which is itself a design artefact validated against the project's problem statement rather than an empirical result.</w:t>
      </w:r>
    </w:p>
    <w:p>
      <w:pPr>
        <w:spacing w:after="240" w:before="100"/>
        <w:jc w:val="center"/>
      </w:pPr>
      <w:r>
        <w:rPr>
          <w:rFonts w:ascii="Times New Roman" w:cs="Times New Roman" w:eastAsia="Times New Roman" w:hAnsi="Times New Roman"/>
          <w:i/>
          <w:iCs/>
          <w:sz w:val="18"/>
          <w:szCs w:val="18"/>
        </w:rPr>
        <w:t xml:space="preserve">TABLE V. DESIGNED OUTPUT SPECIFICATION FOR EACH SCORED WORKER (DESIGN ARTEFACT, NOT A MEASURED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Output field</w:t>
            </w:r>
          </w:p>
        </w:tc>
        <w:tc>
          <w:tcPr>
            <w:tcW w:type="dxa" w:w="64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Description</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Creditworthiness score</w:t>
            </w:r>
          </w:p>
        </w:tc>
        <w:tc>
          <w:tcPr>
            <w:tcW w:type="dxa" w:w="64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Integer in [0, 100], derived from UPI and recharge behaviour (Eq. 1)</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Decision tier</w:t>
            </w:r>
          </w:p>
        </w:tc>
        <w:tc>
          <w:tcPr>
            <w:tcW w:type="dxa" w:w="64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Eligible (70–100) / Review (40–69) / High risk (0–39)</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Explanation</w:t>
            </w:r>
          </w:p>
        </w:tc>
        <w:tc>
          <w:tcPr>
            <w:tcW w:type="dxa" w:w="64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3–5 SHAP-ranked contributing factors in plain language (e.g., “+18 for consistent weekly inflow”)</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Improvement tips</w:t>
            </w:r>
          </w:p>
        </w:tc>
        <w:tc>
          <w:tcPr>
            <w:tcW w:type="dxa" w:w="64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Plain-language suggestions derived from unfavourable SHAP contributions</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Score validity window</w:t>
            </w:r>
          </w:p>
        </w:tc>
        <w:tc>
          <w:tcPr>
            <w:tcW w:type="dxa" w:w="64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Time-bound period after which the score must be recomputed</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Worker-facing view</w:t>
            </w:r>
          </w:p>
        </w:tc>
        <w:tc>
          <w:tcPr>
            <w:tcW w:type="dxa" w:w="64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Simplified score, reason summary, consent status, and an estimated financial-profile summary (estimated monthly income, estimated monthly expenses, candidate existing-EMI signature, and estimated disposable surplus) so the worker can see the same affordability picture the lender does</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Repayment-affordability flag</w:t>
            </w:r>
          </w:p>
        </w:tc>
        <w:tc>
          <w:tcPr>
            <w:tcW w:type="dxa" w:w="64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Indicates whether a proposed EMI, combined with the worker’s other reported obligations, would keep total monthly repayment within the 50% of monthly household income ceiling that RBI’s microfinance regulatory framework applies to collateral-free loans to low-income households [14]; advisory only, and not a substitute for the lender’s own board-approved affordability assessment.</w:t>
            </w:r>
          </w:p>
        </w:tc>
      </w:tr>
    </w:tbl>
    <w:p>
      <w:pPr>
        <w:sectPr>
          <w:type w:val="continuous"/>
          <w:pgSz w:w="12240" w:h="15840" w:orient="portrait"/>
          <w:pgMar w:top="1080" w:right="900" w:bottom="1440" w:left="900" w:header="708" w:footer="708" w:gutter="0"/>
          <w:pgNumType/>
          <w:docGrid w:linePitch="360"/>
        </w:sectPr>
      </w:pPr>
    </w:p>
    <w:p>
      <w:pPr>
        <w:spacing w:after="160" w:line="276"/>
        <w:jc w:val="both"/>
        <w:sectPr>
          <w:type w:val="continuous"/>
          <w:pgSz w:w="12240" w:h="15840" w:orient="portrait"/>
          <w:pgMar w:top="1080" w:right="900" w:bottom="1440" w:left="900" w:header="708" w:footer="708" w:gutter="0"/>
          <w:pgNumType/>
          <w:cols w:num="2" w:space="360"/>
          <w:docGrid w:linePitch="360"/>
        </w:sectPr>
      </w:pPr>
      <w:r>
        <w:rPr>
          <w:rFonts w:ascii="Times New Roman" w:cs="Times New Roman" w:eastAsia="Times New Roman" w:hAnsi="Times New Roman"/>
          <w:sz w:val="21"/>
          <w:szCs w:val="21"/>
        </w:rPr>
        <w:t xml:space="preserve">For context, Table VI reproduces the quantitative results reported by the closest comparator studies in the literature, which the proposed model should be benchmarked against once trained. These figures belong to the cited external studies and must not be read as, or presented as, the proposed system's own results.</w:t>
      </w:r>
    </w:p>
    <w:p>
      <w:pPr>
        <w:spacing w:after="240" w:before="100"/>
        <w:jc w:val="center"/>
      </w:pPr>
      <w:r>
        <w:rPr>
          <w:rFonts w:ascii="Times New Roman" w:cs="Times New Roman" w:eastAsia="Times New Roman" w:hAnsi="Times New Roman"/>
          <w:i/>
          <w:iCs/>
          <w:sz w:val="18"/>
          <w:szCs w:val="18"/>
        </w:rPr>
        <w:t xml:space="preserve">TABLE VI. REFERENCE PERFORMANCE FIGURES FROM COMPARABLE STUDIES (EXTERNAL RESULTS, FOR FUTURE BENCHMARKING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cantSplit/>
          <w:tblHeader/>
        </w:trPr>
        <w:tc>
          <w:tcPr>
            <w:tcW w:type="dxa" w:w="26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Study</w:t>
            </w:r>
          </w:p>
        </w:tc>
        <w:tc>
          <w:tcPr>
            <w:tcW w:type="dxa" w:w="36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Population / data</w:t>
            </w:r>
          </w:p>
        </w:tc>
        <w:tc>
          <w:tcPr>
            <w:tcW w:type="dxa" w:w="28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18"/>
                <w:szCs w:val="18"/>
              </w:rPr>
              <w:t xml:space="preserve">Reported metric</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Ots, Liiv, and Tur [3]</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Mobile usage data, 2,503 customers</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AUC ≈ 0.62 (best model)</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Ng et al., AI-BAAM [9]</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Bank statements, 611 Malaysian MSME applicants</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AUROC = 0.806 (combined features); +24.6% over application-only</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Denknalbant et al. [8]</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Synthetic Istanbul dataset, 100,000 records</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Balanced F1 ≈ 0.84 → 0.95 with alternative features</w:t>
            </w:r>
          </w:p>
        </w:tc>
      </w:tr>
      <w:tr>
        <w:trPr>
          <w:cantSplit/>
        </w:trP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Yadav, Pandey, and Mishra [11]</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Synthetic Indian individual/MSME data, 5,000 records/segment</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AUC = 0.765 (individual), 0.784 (MSME); Brier = 0.195 / 0.184</w:t>
            </w:r>
          </w:p>
        </w:tc>
      </w:tr>
    </w:tbl>
    <w:p>
      <w:pPr>
        <w:sectPr>
          <w:type w:val="continuous"/>
          <w:pgSz w:w="12240" w:h="15840" w:orient="portrait"/>
          <w:pgMar w:top="1080" w:right="900" w:bottom="1440" w:left="900" w:header="708" w:footer="708" w:gutter="0"/>
          <w:pgNumType/>
          <w:docGrid w:linePitch="360"/>
        </w:sectPr>
      </w:pPr>
    </w:p>
    <w:p>
      <w:pPr>
        <w:spacing w:after="160" w:before="320"/>
      </w:pPr>
      <w:r>
        <w:rPr>
          <w:rFonts w:ascii="Times New Roman" w:cs="Times New Roman" w:eastAsia="Times New Roman" w:hAnsi="Times New Roman"/>
          <w:b/>
          <w:bCs/>
          <w:sz w:val="22"/>
          <w:szCs w:val="22"/>
        </w:rPr>
        <w:t xml:space="preserve">XVI. COMPARISON WITH EXISTING SYSTEMS</w:t>
      </w:r>
    </w:p>
    <w:p>
      <w:pPr>
        <w:spacing w:after="160" w:line="276"/>
        <w:jc w:val="both"/>
      </w:pPr>
      <w:r>
        <w:rPr>
          <w:rFonts w:ascii="Times New Roman" w:cs="Times New Roman" w:eastAsia="Times New Roman" w:hAnsi="Times New Roman"/>
          <w:sz w:val="21"/>
          <w:szCs w:val="21"/>
        </w:rPr>
        <w:t xml:space="preserve">Table I (Section II-H) already contrasts the proposed system's design against the three closest prior efforts on qualitative dimensions. Extending that comparison, the proposed system differs from Yadav et al. [11] — its nearest architectural analogue — primarily in (i) targeting daily-wage, street-vendor, and gig-worker populations rather than individual retail borrowers and MSMEs in general, (ii) adding mobile recharge behaviour as a second, lighter-weight data modality alongside UPI transactions, and (iii) specifying a live, consent-gated FastAPI delivery layer as part of the core design rather than as a research prototype. It differs from the Lesotho study [5] in geography, currency, and in proposing a tree-ensemble-plus-SHAP model rather than logistic regression/SVM without an explainability layer. Because the proposed system has not yet been trained or evaluated on data (Section XV), this comparison is necessarily qualitative and architectural rather than a head-to-head numeric benchmark; a numeric comparison against Table VI's reference figures is identified as required future work (Section XXI).</w:t>
      </w:r>
    </w:p>
    <w:p>
      <w:pPr>
        <w:spacing w:after="160" w:before="320"/>
      </w:pPr>
      <w:r>
        <w:rPr>
          <w:rFonts w:ascii="Times New Roman" w:cs="Times New Roman" w:eastAsia="Times New Roman" w:hAnsi="Times New Roman"/>
          <w:b/>
          <w:bCs/>
          <w:sz w:val="22"/>
          <w:szCs w:val="22"/>
        </w:rPr>
        <w:t xml:space="preserve">XVII. DISCUSSION</w:t>
      </w:r>
    </w:p>
    <w:p>
      <w:pPr>
        <w:spacing w:after="160" w:line="276"/>
        <w:jc w:val="both"/>
      </w:pPr>
      <w:r>
        <w:rPr>
          <w:rFonts w:ascii="Times New Roman" w:cs="Times New Roman" w:eastAsia="Times New Roman" w:hAnsi="Times New Roman"/>
          <w:sz w:val="21"/>
          <w:szCs w:val="21"/>
        </w:rPr>
        <w:t xml:space="preserve">The design choices made in Sections VI–XII reflect a deliberate trade-off between predictive sophistication and deployability in a low-resource, thin-file setting. XGBoost is chosen over deep-learning alternatives because the literature reviewed in Section II reports strong, well-calibrated performance for gradient-boosted trees on tabular behavioural data of the scale realistically obtainable for this population, and because TreeSHAP makes exact, fast explanation computation feasible at inference time — a property that would be considerably harder to guarantee for a deep neural network. The decision to combine UPI and recharge data, rather than relying on UPI data alone, is intended to provide a fallback signal for workers whose UPI transaction volume is too sparse to support reliable scoring on its own, since recharge behaviour tends to be a near-universal, low-value, high-frequency signal even for workers with limited digital-payment adoption. The explicit three-tier decision structure (Eligible / Review / High risk), rather than a binary approve/reject decision, is intended to route borderline cases to human review rather than fully automating a decision that materially affects a worker's access to credit — a design choice that also aligns with the RBI FREE-AI framework's emphasis on human oversight of automated credit decisions, as reflected in the comparator system's three-tier probability-of-default framework [11].</w:t>
      </w:r>
    </w:p>
    <w:p>
      <w:pPr>
        <w:spacing w:after="160" w:line="276"/>
        <w:jc w:val="both"/>
      </w:pPr>
      <w:r>
        <w:rPr>
          <w:rFonts w:ascii="Times New Roman" w:cs="Times New Roman" w:eastAsia="Times New Roman" w:hAnsi="Times New Roman"/>
          <w:sz w:val="21"/>
          <w:szCs w:val="21"/>
        </w:rPr>
        <w:t xml:space="preserve">The system is also designed to sit inside, not around, India’s existing microfinance regulatory framework. RBI’s Master Direction on microfinance loans defines a microfinance loan as a collateral-free loan to a household with annual income up to ₹3,00,000, and requires each regulated lender to keep a household’s total monthly loan repayment obligations — across all existing and proposed loans — within 50% of its monthly household income, under a board-approved assessment policy that the lender must also report to Credit Information Companies [14]. The proposed system does not itself perform this affordability check: the repayment-affordability flag in Table V is intended as a supporting indicator that a lender folds into its own board-approved process, not a replacement for it. This distinction matters because the score in this paper estimates repayment capacity from behavioural data, while the RBI ceiling is a household-level, all-loans-included constraint that requires information (a worker’s other outstanding loans, for instance) that UPI and recharge history alone cannot fully surface.</w:t>
      </w:r>
    </w:p>
    <w:p>
      <w:pPr>
        <w:spacing w:after="160" w:before="320"/>
      </w:pPr>
      <w:r>
        <w:rPr>
          <w:rFonts w:ascii="Times New Roman" w:cs="Times New Roman" w:eastAsia="Times New Roman" w:hAnsi="Times New Roman"/>
          <w:b/>
          <w:bCs/>
          <w:sz w:val="22"/>
          <w:szCs w:val="22"/>
        </w:rPr>
        <w:t xml:space="preserve">XVIII. ADVANTAGES OF THE PROPOSED APPROACH</w:t>
      </w:r>
    </w:p>
    <w:p>
      <w:pPr>
        <w:pStyle w:val="ListParagraph"/>
        <w:numPr>
          <w:ilvl w:val="0"/>
          <w:numId w:val="2"/>
        </w:numPr>
        <w:spacing w:after="80"/>
      </w:pPr>
      <w:r>
        <w:rPr>
          <w:rFonts w:ascii="Times New Roman" w:cs="Times New Roman" w:eastAsia="Times New Roman" w:hAnsi="Times New Roman"/>
          <w:sz w:val="21"/>
          <w:szCs w:val="21"/>
        </w:rPr>
        <w:t xml:space="preserve">Uses data sources — UPI transactions and mobile recharge history — that are already generated passively by the target population, without requiring new hardware, a smartphone app installation beyond existing UPI apps, or a formal bank relationship.</w:t>
      </w:r>
    </w:p>
    <w:p>
      <w:pPr>
        <w:pStyle w:val="ListParagraph"/>
        <w:numPr>
          <w:ilvl w:val="0"/>
          <w:numId w:val="2"/>
        </w:numPr>
        <w:spacing w:after="80"/>
      </w:pPr>
      <w:r>
        <w:rPr>
          <w:rFonts w:ascii="Times New Roman" w:cs="Times New Roman" w:eastAsia="Times New Roman" w:hAnsi="Times New Roman"/>
          <w:sz w:val="21"/>
          <w:szCs w:val="21"/>
        </w:rPr>
        <w:t xml:space="preserve">Produces a transparent, per-worker explanation rather than an opaque score, which is both a regulatory advantage under an RBI FREE-AI-aligned framework and a practical advantage in building worker trust.</w:t>
      </w:r>
    </w:p>
    <w:p>
      <w:pPr>
        <w:pStyle w:val="ListParagraph"/>
        <w:numPr>
          <w:ilvl w:val="0"/>
          <w:numId w:val="2"/>
        </w:numPr>
        <w:spacing w:after="80"/>
      </w:pPr>
      <w:r>
        <w:rPr>
          <w:rFonts w:ascii="Times New Roman" w:cs="Times New Roman" w:eastAsia="Times New Roman" w:hAnsi="Times New Roman"/>
          <w:sz w:val="21"/>
          <w:szCs w:val="21"/>
        </w:rPr>
        <w:t xml:space="preserve">Separates the scoring model from the delivery layer (FastAPI) and from the frontend, allowing the modelling component to be improved or replaced independently as better data becomes available.</w:t>
      </w:r>
    </w:p>
    <w:p>
      <w:pPr>
        <w:pStyle w:val="ListParagraph"/>
        <w:numPr>
          <w:ilvl w:val="0"/>
          <w:numId w:val="2"/>
        </w:numPr>
        <w:spacing w:after="80"/>
      </w:pPr>
      <w:r>
        <w:rPr>
          <w:rFonts w:ascii="Times New Roman" w:cs="Times New Roman" w:eastAsia="Times New Roman" w:hAnsi="Times New Roman"/>
          <w:sz w:val="21"/>
          <w:szCs w:val="21"/>
        </w:rPr>
        <w:t xml:space="preserve">A three-tier decision structure preserves a human-in-the-loop review path for borderline cases rather than fully automating credit denial.</w:t>
      </w:r>
    </w:p>
    <w:p>
      <w:pPr>
        <w:spacing w:after="160" w:before="320"/>
      </w:pPr>
      <w:r>
        <w:rPr>
          <w:rFonts w:ascii="Times New Roman" w:cs="Times New Roman" w:eastAsia="Times New Roman" w:hAnsi="Times New Roman"/>
          <w:b/>
          <w:bCs/>
          <w:sz w:val="22"/>
          <w:szCs w:val="22"/>
        </w:rPr>
        <w:t xml:space="preserve">XIX. LIMITATIONS</w:t>
      </w:r>
    </w:p>
    <w:p>
      <w:pPr>
        <w:pStyle w:val="ListParagraph"/>
        <w:numPr>
          <w:ilvl w:val="0"/>
          <w:numId w:val="2"/>
        </w:numPr>
        <w:spacing w:after="80"/>
      </w:pPr>
      <w:r>
        <w:rPr>
          <w:rFonts w:ascii="Times New Roman" w:cs="Times New Roman" w:eastAsia="Times New Roman" w:hAnsi="Times New Roman"/>
          <w:sz w:val="21"/>
          <w:szCs w:val="21"/>
        </w:rPr>
        <w:t xml:space="preserve">No dataset, trained model, or empirical result yet exists for the proposed system (Section IX, XV); every performance figure in this paper is drawn from external comparator studies and must not be conflated with the proposed system's own (as yet unmeasured) performance.</w:t>
      </w:r>
    </w:p>
    <w:p>
      <w:pPr>
        <w:pStyle w:val="ListParagraph"/>
        <w:numPr>
          <w:ilvl w:val="0"/>
          <w:numId w:val="2"/>
        </w:numPr>
        <w:spacing w:after="80"/>
      </w:pPr>
      <w:r>
        <w:rPr>
          <w:rFonts w:ascii="Times New Roman" w:cs="Times New Roman" w:eastAsia="Times New Roman" w:hAnsi="Times New Roman"/>
          <w:sz w:val="21"/>
          <w:szCs w:val="21"/>
        </w:rPr>
        <w:t xml:space="preserve">The specific data-sharing partner or synthetic-data protocol for obtaining UPI and recharge records has not been finalised, and real UPI/recharge data access for a student research project may be difficult to obtain without an institutional or NBFC partnership.</w:t>
      </w:r>
    </w:p>
    <w:p>
      <w:pPr>
        <w:pStyle w:val="ListParagraph"/>
        <w:numPr>
          <w:ilvl w:val="0"/>
          <w:numId w:val="2"/>
        </w:numPr>
        <w:spacing w:after="80"/>
      </w:pPr>
      <w:r>
        <w:rPr>
          <w:rFonts w:ascii="Times New Roman" w:cs="Times New Roman" w:eastAsia="Times New Roman" w:hAnsi="Times New Roman"/>
          <w:sz w:val="21"/>
          <w:szCs w:val="21"/>
        </w:rPr>
        <w:t xml:space="preserve">A synthetic-data validation strategy, while a reasonable interim step (as used by [8], [11]), risks producing performance figures that do not transfer to real worker populations; any synthetic-data results must be clearly labelled as such and re-validated on real data before deployment.</w:t>
      </w:r>
    </w:p>
    <w:p>
      <w:pPr>
        <w:pStyle w:val="ListParagraph"/>
        <w:numPr>
          <w:ilvl w:val="0"/>
          <w:numId w:val="2"/>
        </w:numPr>
        <w:spacing w:after="80"/>
      </w:pPr>
      <w:r>
        <w:rPr>
          <w:rFonts w:ascii="Times New Roman" w:cs="Times New Roman" w:eastAsia="Times New Roman" w:hAnsi="Times New Roman"/>
          <w:sz w:val="21"/>
          <w:szCs w:val="21"/>
        </w:rPr>
        <w:t xml:space="preserve">Workers with extremely sparse or newly initiated UPI/recharge activity present a cold-start problem that the current design does not yet solve.</w:t>
      </w:r>
    </w:p>
    <w:p>
      <w:pPr>
        <w:pStyle w:val="ListParagraph"/>
        <w:numPr>
          <w:ilvl w:val="0"/>
          <w:numId w:val="2"/>
        </w:numPr>
        <w:spacing w:after="80"/>
      </w:pPr>
      <w:r>
        <w:rPr>
          <w:rFonts w:ascii="Times New Roman" w:cs="Times New Roman" w:eastAsia="Times New Roman" w:hAnsi="Times New Roman"/>
          <w:sz w:val="21"/>
          <w:szCs w:val="21"/>
        </w:rPr>
        <w:t xml:space="preserve">Reliance on digital-payment and mobile-recharge activity could itself introduce a selection bias against the most cash-reliant, least digitally engaged segment of informal workers, which is a fairness consideration in addition to the income-band and GST-compliance style fairness checks used in the comparator literature [11].</w:t>
      </w:r>
    </w:p>
    <w:p>
      <w:pPr>
        <w:spacing w:after="160" w:before="320"/>
      </w:pPr>
      <w:r>
        <w:rPr>
          <w:rFonts w:ascii="Times New Roman" w:cs="Times New Roman" w:eastAsia="Times New Roman" w:hAnsi="Times New Roman"/>
          <w:b/>
          <w:bCs/>
          <w:sz w:val="22"/>
          <w:szCs w:val="22"/>
        </w:rPr>
        <w:t xml:space="preserve">XX. APPLICATIONS</w:t>
      </w:r>
    </w:p>
    <w:p>
      <w:pPr>
        <w:pStyle w:val="ListParagraph"/>
        <w:numPr>
          <w:ilvl w:val="0"/>
          <w:numId w:val="2"/>
        </w:numPr>
        <w:spacing w:after="80"/>
      </w:pPr>
      <w:r>
        <w:rPr>
          <w:rFonts w:ascii="Times New Roman" w:cs="Times New Roman" w:eastAsia="Times New Roman" w:hAnsi="Times New Roman"/>
          <w:sz w:val="21"/>
          <w:szCs w:val="21"/>
        </w:rPr>
        <w:t xml:space="preserve">Non-Banking Financial Companies (NBFCs) and NBFC-Microfinance Institutions (NBFC-MFIs) seeking to underwrite small, collateral-free loans to informal workers without bureau history — for example, Karnataka-headquartered NBFC-MFIs such as CreditAccess Grameen, India’s largest NBFC-MFI, and NABFINS, an NBFC-MFI promoted by NABARD with equity participation from the Government of Karnataka and several public-sector banks. This is cited only to illustrate the category of institution the design targets, not as an existing partnership.</w:t>
      </w:r>
    </w:p>
    <w:p>
      <w:pPr>
        <w:pStyle w:val="ListParagraph"/>
        <w:numPr>
          <w:ilvl w:val="0"/>
          <w:numId w:val="2"/>
        </w:numPr>
        <w:spacing w:after="80"/>
      </w:pPr>
      <w:r>
        <w:rPr>
          <w:rFonts w:ascii="Times New Roman" w:cs="Times New Roman" w:eastAsia="Times New Roman" w:hAnsi="Times New Roman"/>
          <w:sz w:val="21"/>
          <w:szCs w:val="21"/>
        </w:rPr>
        <w:t xml:space="preserve">Gig-economy and platform companies wishing to offer earned-wage access or small advances to their worker base using the platform's own transaction visibility as a complementary signal.</w:t>
      </w:r>
    </w:p>
    <w:p>
      <w:pPr>
        <w:pStyle w:val="ListParagraph"/>
        <w:numPr>
          <w:ilvl w:val="0"/>
          <w:numId w:val="2"/>
        </w:numPr>
        <w:spacing w:after="80"/>
      </w:pPr>
      <w:r>
        <w:rPr>
          <w:rFonts w:ascii="Times New Roman" w:cs="Times New Roman" w:eastAsia="Times New Roman" w:hAnsi="Times New Roman"/>
          <w:sz w:val="21"/>
          <w:szCs w:val="21"/>
        </w:rPr>
        <w:t xml:space="preserve">Cooperative banks and self-help-group-linked lenders operating in semi-urban and urban informal-economy contexts.</w:t>
      </w:r>
    </w:p>
    <w:p>
      <w:pPr>
        <w:pStyle w:val="ListParagraph"/>
        <w:numPr>
          <w:ilvl w:val="0"/>
          <w:numId w:val="2"/>
        </w:numPr>
        <w:spacing w:after="80"/>
      </w:pPr>
      <w:r>
        <w:rPr>
          <w:rFonts w:ascii="Times New Roman" w:cs="Times New Roman" w:eastAsia="Times New Roman" w:hAnsi="Times New Roman"/>
          <w:sz w:val="21"/>
          <w:szCs w:val="21"/>
        </w:rPr>
        <w:t xml:space="preserve">Government-led financial-inclusion schemes aligned with SDG 1 and SDG 8 — notably the PM Street Vendor’s AtmaNirbhar Nidhi (PM SVANidhi) scheme, which already provides collateral-free working-capital loans to street vendors in escalating tranches on timely repayment [15], and could use a system such as this one as a supporting income-verification signal rather than as a replacement for the scheme’s own eligibility process.</w:t>
      </w:r>
    </w:p>
    <w:p>
      <w:pPr>
        <w:spacing w:after="160" w:line="276"/>
        <w:jc w:val="both"/>
        <w:sectPr>
          <w:type w:val="continuous"/>
          <w:pgSz w:w="12240" w:h="15840" w:orient="portrait"/>
          <w:pgMar w:top="1080" w:right="900" w:bottom="1440" w:left="900" w:header="708" w:footer="708" w:gutter="0"/>
          <w:pgNumType/>
          <w:cols w:num="2" w:space="360"/>
          <w:docGrid w:linePitch="360"/>
        </w:sectPr>
      </w:pPr>
      <w:r>
        <w:rPr>
          <w:rFonts w:ascii="Times New Roman" w:cs="Times New Roman" w:eastAsia="Times New Roman" w:hAnsi="Times New Roman"/>
          <w:sz w:val="21"/>
          <w:szCs w:val="21"/>
        </w:rPr>
        <w:t xml:space="preserve">Table VII broadens this picture with the categories of regulated Indian lending institution that, per Karnataka government and microfinance-industry (MFIN) data, are documented as operating in the state and could in principle be approached as a data-sharing or pilot-deployment partner. This list is reproduced to show the scale and structure of the institutional landscape the proposed system is designed for — NBFC-MFIs focused specifically on microfinance, broader NBFCs, and Small Finance Banks with a financial-inclusion mandate — and is not a claim that any of these institutions has reviewed, endorsed, or agreed to pilot the proposed system.</w:t>
      </w:r>
    </w:p>
    <w:p>
      <w:pPr>
        <w:spacing w:before="160" w:after="80"/>
        <w:jc w:val="center"/>
      </w:pPr>
      <w:r>
        <w:rPr>
          <w:rFonts w:ascii="Times New Roman" w:cs="Times New Roman" w:eastAsia="Times New Roman" w:hAnsi="Times New Roman"/>
          <w:i/>
          <w:iCs/>
          <w:sz w:val="18"/>
          <w:szCs w:val="18"/>
        </w:rPr>
        <w:t xml:space="preserve">TABLE VII. CATEGORIES OF INDIAN LENDING INSTITUTIONS DOCUMENTED AS OPERATING IN KARNATAKA (ILLUSTRATIVE LANDSCAPE, NOT CONFIRMED PARTNERS)</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800"/>
        <w:gridCol w:w="7200"/>
      </w:tblGrid>
      <w:tr>
        <w:trPr>
          <w:cantSplit/>
        </w:trPr>
        <w:tc>
          <w:tcPr>
            <w:tcW w:type="dxa" w:w="1800"/>
            <w:shd w:val="clear" w:color="auto" w:fill="D9D9D9"/>
            <w:tcMar>
              <w:top w:type="dxa" w:w="80"/>
              <w:left w:type="dxa" w:w="100"/>
              <w:bottom w:type="dxa" w:w="80"/>
              <w:right w:type="dxa" w:w="100"/>
            </w:tcMar>
          </w:tcPr>
          <w:p>
            <w:pPr>
              <w:jc w:val="left"/>
            </w:pPr>
            <w:r>
              <w:rPr>
                <w:rFonts w:ascii="Times New Roman" w:cs="Times New Roman" w:eastAsia="Times New Roman" w:hAnsi="Times New Roman"/>
                <w:b/>
                <w:bCs/>
                <w:sz w:val="18"/>
                <w:szCs w:val="18"/>
              </w:rPr>
              <w:t xml:space="preserve">Category</w:t>
            </w:r>
          </w:p>
        </w:tc>
        <w:tc>
          <w:tcPr>
            <w:tcW w:type="dxa" w:w="7200"/>
            <w:shd w:val="clear" w:color="auto" w:fill="D9D9D9"/>
            <w:tcMar>
              <w:top w:type="dxa" w:w="80"/>
              <w:left w:type="dxa" w:w="100"/>
              <w:bottom w:type="dxa" w:w="80"/>
              <w:right w:type="dxa" w:w="100"/>
            </w:tcMar>
          </w:tcPr>
          <w:p>
            <w:pPr>
              <w:jc w:val="left"/>
            </w:pPr>
            <w:r>
              <w:rPr>
                <w:rFonts w:ascii="Times New Roman" w:cs="Times New Roman" w:eastAsia="Times New Roman" w:hAnsi="Times New Roman"/>
                <w:b/>
                <w:bCs/>
                <w:sz w:val="18"/>
                <w:szCs w:val="18"/>
              </w:rPr>
              <w:t xml:space="preserve">Institutions</w:t>
            </w:r>
          </w:p>
        </w:tc>
      </w:tr>
      <w:tr>
        <w:trPr>
          <w:cantSplit/>
        </w:trPr>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NBFC-MFI</w:t>
            </w:r>
          </w:p>
        </w:tc>
        <w:tc>
          <w:tcPr>
            <w:tcW w:type="dxa" w:w="72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CreditAccess Grameen, Chaitanya India Fin Credit, IIFL Samasta Finance, Muthoot Microfin, Belstar Microfinance, Spandana Sphoorty Financial, Satin Creditcare Network, Asirvad Microfinance, Annapurna Finance, Fusion Finance, South India Finvest, Svamaan Financial Services, Svatantra Microfin, NABFINS</w:t>
            </w:r>
          </w:p>
        </w:tc>
      </w:tr>
      <w:tr>
        <w:trPr>
          <w:cantSplit/>
        </w:trPr>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NBFC (broader lending)</w:t>
            </w:r>
          </w:p>
        </w:tc>
        <w:tc>
          <w:tcPr>
            <w:tcW w:type="dxa" w:w="72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L&amp;T Finance, Dvara Kshetriya Gramin Financial Services, Bajaj Finance, Tata Capital, SMFG India Credit, Northern Arc Capital</w:t>
            </w:r>
          </w:p>
        </w:tc>
      </w:tr>
      <w:tr>
        <w:trPr>
          <w:cantSplit/>
        </w:trPr>
        <w:tc>
          <w:tcPr>
            <w:tcW w:type="dxa" w:w="18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Small Finance Bank</w:t>
            </w:r>
          </w:p>
        </w:tc>
        <w:tc>
          <w:tcPr>
            <w:tcW w:type="dxa" w:w="7200"/>
            <w:tcMar>
              <w:top w:type="dxa" w:w="80"/>
              <w:left w:type="dxa" w:w="100"/>
              <w:bottom w:type="dxa" w:w="80"/>
              <w:right w:type="dxa" w:w="100"/>
            </w:tcMar>
          </w:tcPr>
          <w:p>
            <w:pPr>
              <w:jc w:val="left"/>
            </w:pPr>
            <w:r>
              <w:rPr>
                <w:rFonts w:ascii="Times New Roman" w:cs="Times New Roman" w:eastAsia="Times New Roman" w:hAnsi="Times New Roman"/>
                <w:b w:val="false"/>
                <w:bCs w:val="false"/>
                <w:sz w:val="18"/>
                <w:szCs w:val="18"/>
              </w:rPr>
              <w:t xml:space="preserve">Jana Small Finance Bank, Ujjivan Small Finance Bank, Equitas Small Finance Bank, Suryoday Small Finance Bank, AU Small Finance Bank, ESAF Small Finance Bank</w:t>
            </w:r>
          </w:p>
        </w:tc>
      </w:tr>
    </w:tbl>
    <w:p>
      <w:pPr>
        <w:sectPr>
          <w:type w:val="continuous"/>
          <w:pgSz w:w="12240" w:h="15840" w:orient="portrait"/>
          <w:pgMar w:top="1080" w:right="900" w:bottom="1440" w:left="900" w:header="708" w:footer="708" w:gutter="0"/>
          <w:pgNumType/>
          <w:docGrid w:linePitch="360"/>
        </w:sectPr>
      </w:pPr>
    </w:p>
    <w:p>
      <w:pPr>
        <w:spacing w:after="160" w:before="320"/>
      </w:pPr>
      <w:r>
        <w:rPr>
          <w:rFonts w:ascii="Times New Roman" w:cs="Times New Roman" w:eastAsia="Times New Roman" w:hAnsi="Times New Roman"/>
          <w:b/>
          <w:bCs/>
          <w:sz w:val="22"/>
          <w:szCs w:val="22"/>
        </w:rPr>
        <w:t xml:space="preserve">XXI. FUTURE SCOPE</w:t>
      </w:r>
    </w:p>
    <w:p>
      <w:pPr>
        <w:pStyle w:val="ListParagraph"/>
        <w:numPr>
          <w:ilvl w:val="0"/>
          <w:numId w:val="2"/>
        </w:numPr>
        <w:spacing w:after="80"/>
      </w:pPr>
      <w:r>
        <w:rPr>
          <w:rFonts w:ascii="Times New Roman" w:cs="Times New Roman" w:eastAsia="Times New Roman" w:hAnsi="Times New Roman"/>
          <w:sz w:val="21"/>
          <w:szCs w:val="21"/>
        </w:rPr>
        <w:t xml:space="preserve">Finalise a concrete dataset specification (Section IX), including a data-sharing partnership or a rigorously calibrated synthetic-data protocol, and execute the experimental plan in Section XIII to obtain the proposed system's own empirical results.</w:t>
      </w:r>
    </w:p>
    <w:p>
      <w:pPr>
        <w:pStyle w:val="ListParagraph"/>
        <w:numPr>
          <w:ilvl w:val="0"/>
          <w:numId w:val="2"/>
        </w:numPr>
        <w:spacing w:after="80"/>
      </w:pPr>
      <w:r>
        <w:rPr>
          <w:rFonts w:ascii="Times New Roman" w:cs="Times New Roman" w:eastAsia="Times New Roman" w:hAnsi="Times New Roman"/>
          <w:sz w:val="21"/>
          <w:szCs w:val="21"/>
        </w:rPr>
        <w:t xml:space="preserve">Benchmark the trained model quantitatively against the reference figures in Table VI, in particular against the closest comparator system [11].</w:t>
      </w:r>
    </w:p>
    <w:p>
      <w:pPr>
        <w:pStyle w:val="ListParagraph"/>
        <w:numPr>
          <w:ilvl w:val="0"/>
          <w:numId w:val="2"/>
        </w:numPr>
        <w:spacing w:after="80"/>
      </w:pPr>
      <w:r>
        <w:rPr>
          <w:rFonts w:ascii="Times New Roman" w:cs="Times New Roman" w:eastAsia="Times New Roman" w:hAnsi="Times New Roman"/>
          <w:sz w:val="21"/>
          <w:szCs w:val="21"/>
        </w:rPr>
        <w:t xml:space="preserve">Extend the fairness evaluation beyond income bands to other relevant groupings (e.g., gender, sector of informal work, urban/rural location), following the audit methodology of the comparator fairness dashboard [11].</w:t>
      </w:r>
    </w:p>
    <w:p>
      <w:pPr>
        <w:pStyle w:val="ListParagraph"/>
        <w:numPr>
          <w:ilvl w:val="0"/>
          <w:numId w:val="2"/>
        </w:numPr>
        <w:spacing w:after="80"/>
      </w:pPr>
      <w:r>
        <w:rPr>
          <w:rFonts w:ascii="Times New Roman" w:cs="Times New Roman" w:eastAsia="Times New Roman" w:hAnsi="Times New Roman"/>
          <w:sz w:val="21"/>
          <w:szCs w:val="21"/>
        </w:rPr>
        <w:t xml:space="preserve">Investigate temporal and seasonal modelling (e.g., festival-linked or agriculturally linked income seasonality) given that informal-worker income is more seasonally variable than salaried income.</w:t>
      </w:r>
    </w:p>
    <w:p>
      <w:pPr>
        <w:pStyle w:val="ListParagraph"/>
        <w:numPr>
          <w:ilvl w:val="0"/>
          <w:numId w:val="2"/>
        </w:numPr>
        <w:spacing w:after="80"/>
      </w:pPr>
      <w:r>
        <w:rPr>
          <w:rFonts w:ascii="Times New Roman" w:cs="Times New Roman" w:eastAsia="Times New Roman" w:hAnsi="Times New Roman"/>
          <w:sz w:val="21"/>
          <w:szCs w:val="21"/>
        </w:rPr>
        <w:t xml:space="preserve">Pilot the system with a partnering NBFC or microfinance institution to observe real repayment outcomes and close the label-definition gap identified in Section IX.</w:t>
      </w:r>
    </w:p>
    <w:p>
      <w:pPr>
        <w:pStyle w:val="ListParagraph"/>
        <w:numPr>
          <w:ilvl w:val="0"/>
          <w:numId w:val="2"/>
        </w:numPr>
        <w:spacing w:after="80"/>
      </w:pPr>
      <w:r>
        <w:rPr>
          <w:rFonts w:ascii="Times New Roman" w:cs="Times New Roman" w:eastAsia="Times New Roman" w:hAnsi="Times New Roman"/>
          <w:sz w:val="21"/>
          <w:szCs w:val="21"/>
        </w:rPr>
        <w:t xml:space="preserve">Finalise and user-test the worker-facing frontend, with particular attention to low-literacy and low-digital-literacy usability given the target population.</w:t>
      </w:r>
    </w:p>
    <w:p>
      <w:pPr>
        <w:spacing w:after="160" w:before="320"/>
      </w:pPr>
      <w:r>
        <w:rPr>
          <w:rFonts w:ascii="Times New Roman" w:cs="Times New Roman" w:eastAsia="Times New Roman" w:hAnsi="Times New Roman"/>
          <w:b/>
          <w:bCs/>
          <w:sz w:val="22"/>
          <w:szCs w:val="22"/>
        </w:rPr>
        <w:t xml:space="preserve">XXII. CONCLUSION</w:t>
      </w:r>
    </w:p>
    <w:p>
      <w:pPr>
        <w:spacing w:after="160" w:line="276"/>
        <w:jc w:val="both"/>
      </w:pPr>
      <w:r>
        <w:rPr>
          <w:rFonts w:ascii="Times New Roman" w:cs="Times New Roman" w:eastAsia="Times New Roman" w:hAnsi="Times New Roman"/>
          <w:sz w:val="21"/>
          <w:szCs w:val="21"/>
        </w:rPr>
        <w:t xml:space="preserve">This paper has presented the problem framing, literature positioning, research gap, architecture, and detailed methodology for an explainable, XGBoost-and-SHAP-based alternative credit-scoring system intended to verify the income stability of informal workers — daily-wage labourers, street vendors, and gig workers — from their UPI transaction and mobile recharge behaviour, in support of micro-loan eligibility decisions. The design draws on and is positioned against a body of recent literature on mobile-data, alternative-data, and India-specific digital-payment credit scoring, and identifies a research gap around explainable, consent-based scoring pipelines purpose-built for this specific, thin-file population rather than for MSMEs or general retail borrowers. Consistent with the project's current early-stage design phase, this paper deliberately does not report any accuracy, AUC, or other empirical performance figure for the proposed system itself, since no dataset has yet been finalised and no model has yet been trained; the specific artefacts required to move from this design paper to an empirically validated system — a dataset specification, a trained model, and a measured evaluation against the metrics in Section XIV — are stated explicitly so that the project's next phase can address them directly.</w:t>
      </w:r>
    </w:p>
    <w:p>
      <w:pPr>
        <w:spacing w:after="160" w:before="320"/>
      </w:pPr>
      <w:r>
        <w:rPr>
          <w:rFonts w:ascii="Times New Roman" w:cs="Times New Roman" w:eastAsia="Times New Roman" w:hAnsi="Times New Roman"/>
          <w:b/>
          <w:bCs/>
          <w:sz w:val="22"/>
          <w:szCs w:val="22"/>
        </w:rPr>
        <w:t xml:space="preserve">XXIII. ACKNOWLEDGMENT</w:t>
      </w:r>
    </w:p>
    <w:p>
      <w:pPr>
        <w:spacing w:after="160" w:line="276"/>
        <w:jc w:val="both"/>
      </w:pPr>
      <w:r>
        <w:rPr>
          <w:rFonts w:ascii="Times New Roman" w:cs="Times New Roman" w:eastAsia="Times New Roman" w:hAnsi="Times New Roman"/>
          <w:sz w:val="21"/>
          <w:szCs w:val="21"/>
        </w:rPr>
        <w:t xml:space="preserve">The authors thank Dr. Anand Prakash, Associate Professor, School of Computer Science and Engineering, Presidency University, for supervision of this project; Dr. Naagaraja S R, Head of the Department of Computer Science and Engineering; and Dr. Jayavadivel Ravi, Program Project Coordinator, for their guidance during the development of this project.</w:t>
      </w:r>
    </w:p>
    <w:p>
      <w:pPr>
        <w:spacing w:after="160" w:before="320"/>
      </w:pPr>
      <w:r>
        <w:rPr>
          <w:rFonts w:ascii="Times New Roman" w:cs="Times New Roman" w:eastAsia="Times New Roman" w:hAnsi="Times New Roman"/>
          <w:b/>
          <w:bCs/>
          <w:sz w:val="22"/>
          <w:szCs w:val="22"/>
        </w:rPr>
        <w:t xml:space="preserve">REFERENCES</w:t>
      </w:r>
    </w:p>
    <w:p>
      <w:pPr>
        <w:spacing w:after="120"/>
        <w:ind w:left="431" w:hanging="431"/>
      </w:pPr>
      <w:r>
        <w:rPr>
          <w:rFonts w:ascii="Times New Roman" w:cs="Times New Roman" w:eastAsia="Times New Roman" w:hAnsi="Times New Roman"/>
          <w:sz w:val="20"/>
          <w:szCs w:val="20"/>
        </w:rPr>
        <w:t xml:space="preserve">[1] P. Ranjan, “UPI Credit Risk Intelligence Index (UCRII): An Explainable Artificial Intelligence Framework for Real-Time Retail Lending Risk Assessment in India's Digital Payment Ecosystem,” SSRN Working Paper, 2026. [Online]. Available: https://ssrn.com/abstract=6973243</w:t>
      </w:r>
    </w:p>
    <w:p>
      <w:pPr>
        <w:spacing w:after="120"/>
        <w:ind w:left="431" w:hanging="431"/>
      </w:pPr>
      <w:r>
        <w:rPr>
          <w:rFonts w:ascii="Times New Roman" w:cs="Times New Roman" w:eastAsia="Times New Roman" w:hAnsi="Times New Roman"/>
          <w:sz w:val="20"/>
          <w:szCs w:val="20"/>
        </w:rPr>
        <w:t xml:space="preserve">[2] S. Alok, P. Ghosh, N. Kulkarni, and M. Puri, “Breaking Barriers to Financial Access: Cross-Platform Digital Payments and Credit Markets,” National Bureau of Economic Research (NBER), Working Paper No. 33259, 2024. doi: 10.3386/w33259</w:t>
      </w:r>
    </w:p>
    <w:p>
      <w:pPr>
        <w:spacing w:after="120"/>
        <w:ind w:left="431" w:hanging="431"/>
      </w:pPr>
      <w:r>
        <w:rPr>
          <w:rFonts w:ascii="Times New Roman" w:cs="Times New Roman" w:eastAsia="Times New Roman" w:hAnsi="Times New Roman"/>
          <w:sz w:val="20"/>
          <w:szCs w:val="20"/>
        </w:rPr>
        <w:t xml:space="preserve">[3] H. Ots, I. Liiv, and D. Tur, “Mobile Phone Usage Data for Credit Scoring,” arXiv:2002.12616, 2020.</w:t>
      </w:r>
    </w:p>
    <w:p>
      <w:pPr>
        <w:spacing w:after="120"/>
        <w:ind w:left="431" w:hanging="431"/>
      </w:pPr>
      <w:r>
        <w:rPr>
          <w:rFonts w:ascii="Times New Roman" w:cs="Times New Roman" w:eastAsia="Times New Roman" w:hAnsi="Times New Roman"/>
          <w:sz w:val="20"/>
          <w:szCs w:val="20"/>
        </w:rPr>
        <w:t xml:space="preserve">[4] R. Razavi and N. G. Elbahnasawy, “Unlocking Credit Access: Using Non-CDR Mobile Data to Enhance Credit Scoring for Financial Inclusion,” Finance Research Letters, vol. 73, p. 106682, Mar. 2025. doi: 10.1016/j.frl.2024.106682</w:t>
      </w:r>
    </w:p>
    <w:p>
      <w:pPr>
        <w:spacing w:after="120"/>
        <w:ind w:left="431" w:hanging="431"/>
      </w:pPr>
      <w:r>
        <w:rPr>
          <w:rFonts w:ascii="Times New Roman" w:cs="Times New Roman" w:eastAsia="Times New Roman" w:hAnsi="Times New Roman"/>
          <w:sz w:val="20"/>
          <w:szCs w:val="20"/>
        </w:rPr>
        <w:t xml:space="preserve">[5] “Empowering Africa's Disfranchised SMEs: Machine Learning-Based Credit Scoring for Informal African Merchants,” Human-Centric Intelligent Systems (Springer), 2025. doi: 10.1007/s44230-025-00105-6</w:t>
      </w:r>
    </w:p>
    <w:p>
      <w:pPr>
        <w:spacing w:after="120"/>
        <w:ind w:left="431" w:hanging="431"/>
      </w:pPr>
      <w:r>
        <w:rPr>
          <w:rFonts w:ascii="Times New Roman" w:cs="Times New Roman" w:eastAsia="Times New Roman" w:hAnsi="Times New Roman"/>
          <w:sz w:val="20"/>
          <w:szCs w:val="20"/>
        </w:rPr>
        <w:t xml:space="preserve">[6] “From Data to Dignity: AI-Powered Credit Scoring for an Inclusive India,” Journal of Scientific Advances (JSA), vol. 2, no. 3, pp. 62–76, 2025.</w:t>
      </w:r>
    </w:p>
    <w:p>
      <w:pPr>
        <w:spacing w:after="120"/>
        <w:ind w:left="431" w:hanging="431"/>
      </w:pPr>
      <w:r>
        <w:rPr>
          <w:rFonts w:ascii="Times New Roman" w:cs="Times New Roman" w:eastAsia="Times New Roman" w:hAnsi="Times New Roman"/>
          <w:sz w:val="20"/>
          <w:szCs w:val="20"/>
        </w:rPr>
        <w:t xml:space="preserve">[7] D. Björkegren and D. Grissen, “Behavior Revealed in Mobile Phone Usage Predicts Loan Repayment,” arXiv:1712.05840, 2017.</w:t>
      </w:r>
    </w:p>
    <w:p>
      <w:pPr>
        <w:spacing w:after="120"/>
        <w:ind w:left="431" w:hanging="431"/>
      </w:pPr>
      <w:r>
        <w:rPr>
          <w:rFonts w:ascii="Times New Roman" w:cs="Times New Roman" w:eastAsia="Times New Roman" w:hAnsi="Times New Roman"/>
          <w:sz w:val="20"/>
          <w:szCs w:val="20"/>
        </w:rPr>
        <w:t xml:space="preserve">[8] A. Denknalbant, E. Sezdi, and Z. F. Kutlu, “Credit Risk Estimation with Non-Financial Features: Evidence from a Synthetic Istanbul Dataset,” arXiv:2512.12783, 2025.</w:t>
      </w:r>
    </w:p>
    <w:p>
      <w:pPr>
        <w:spacing w:after="120"/>
        <w:ind w:left="431" w:hanging="431"/>
      </w:pPr>
      <w:r>
        <w:rPr>
          <w:rFonts w:ascii="Times New Roman" w:cs="Times New Roman" w:eastAsia="Times New Roman" w:hAnsi="Times New Roman"/>
          <w:sz w:val="20"/>
          <w:szCs w:val="20"/>
        </w:rPr>
        <w:t xml:space="preserve">[9] C. C. Ng, Z. H. Chu, J. Y. Lim, Y. Y. Boon, W. Z. Low, and J. K. Tan, “AI-BAAM: AI-Driven Bank Statement Analytics as Alternative Data for Malaysian MSME Credit Scoring,” arXiv:2510.16066, 2025.</w:t>
      </w:r>
    </w:p>
    <w:p>
      <w:pPr>
        <w:spacing w:after="120"/>
        <w:ind w:left="431" w:hanging="431"/>
      </w:pPr>
      <w:r>
        <w:rPr>
          <w:rFonts w:ascii="Times New Roman" w:cs="Times New Roman" w:eastAsia="Times New Roman" w:hAnsi="Times New Roman"/>
          <w:sz w:val="20"/>
          <w:szCs w:val="20"/>
        </w:rPr>
        <w:t xml:space="preserve">[10] R. Muñoz-Cancino, C. Bravo, S. A. Ríos, and M. Graña, “Assessment of Creditworthiness Models: Privacy-Preserving Training with Synthetic Data,” in Hybrid Artificial Intelligent Systems (HAIS 2022), 2023, arXiv:2301.01212.</w:t>
      </w:r>
    </w:p>
    <w:p>
      <w:pPr>
        <w:spacing w:after="120"/>
        <w:ind w:left="431" w:hanging="431"/>
      </w:pPr>
      <w:r>
        <w:rPr>
          <w:rFonts w:ascii="Times New Roman" w:cs="Times New Roman" w:eastAsia="Times New Roman" w:hAnsi="Times New Roman"/>
          <w:sz w:val="20"/>
          <w:szCs w:val="20"/>
        </w:rPr>
        <w:t xml:space="preserve">[11] G. C. Yadav, V. Pandey, and K. Mishra, “AI-Powered Alternative Credit Scoring System for MSMEs and Individual Borrowers in India,” International Journal of Technology, Health and Sustainability, vol. 2, no. 2, pp. 687–694, 2026.</w:t>
      </w:r>
    </w:p>
    <w:p>
      <w:pPr>
        <w:spacing w:after="120"/>
        <w:ind w:left="431" w:hanging="431"/>
      </w:pPr>
      <w:r>
        <w:rPr>
          <w:rFonts w:ascii="Times New Roman" w:cs="Times New Roman" w:eastAsia="Times New Roman" w:hAnsi="Times New Roman"/>
          <w:sz w:val="20"/>
          <w:szCs w:val="20"/>
        </w:rPr>
        <w:t xml:space="preserve">[12] T. Chen and C. Guestrin, “XGBoost: A Scalable Tree Boosting System,” in Proc. 22nd ACM SIGKDD Int. Conf. Knowledge Discovery and Data Mining (KDD), San Francisco, CA, USA, 2016, pp. 785–794. doi: 10.1145/2939672.2939785</w:t>
      </w:r>
    </w:p>
    <w:p>
      <w:pPr>
        <w:spacing w:after="120"/>
        <w:ind w:left="431" w:hanging="431"/>
      </w:pPr>
      <w:r>
        <w:rPr>
          <w:rFonts w:ascii="Times New Roman" w:cs="Times New Roman" w:eastAsia="Times New Roman" w:hAnsi="Times New Roman"/>
          <w:sz w:val="20"/>
          <w:szCs w:val="20"/>
        </w:rPr>
        <w:t xml:space="preserve">[13] S. M. Lundberg and S.-I. Lee, “A Unified Approach to Interpreting Model Predictions,” in Advances in Neural Information Processing Systems (NeurIPS), vol. 30, 2017, pp. 4765–4774.</w:t>
      </w:r>
    </w:p>
    <w:p>
      <w:pPr>
        <w:spacing w:after="120"/>
        <w:ind w:left="431" w:hanging="431"/>
      </w:pPr>
      <w:r>
        <w:rPr>
          <w:rFonts w:ascii="Times New Roman" w:cs="Times New Roman" w:eastAsia="Times New Roman" w:hAnsi="Times New Roman"/>
          <w:sz w:val="20"/>
          <w:szCs w:val="20"/>
        </w:rPr>
        <w:t xml:space="preserve">[14] Reserve Bank of India, “Master Direction – Reserve Bank of India (Regulatory Framework for Microfinance Loans) Directions, 2022,” RBI/DoR/2021-22/89, Mar. 2022 (as amended).</w:t>
      </w:r>
    </w:p>
    <w:p>
      <w:pPr>
        <w:spacing w:after="120"/>
        <w:ind w:left="431" w:hanging="431"/>
      </w:pPr>
      <w:r>
        <w:rPr>
          <w:rFonts w:ascii="Times New Roman" w:cs="Times New Roman" w:eastAsia="Times New Roman" w:hAnsi="Times New Roman"/>
          <w:sz w:val="20"/>
          <w:szCs w:val="20"/>
        </w:rPr>
        <w:t xml:space="preserve">[15] Ministry of Housing and Urban Affairs, Government of India, “PM Street Vendor’s AtmaNirbhar Nidhi (PM SVANidhi),” pmsvanidhi.mohua.gov.in, accessed 2026.</w:t>
      </w:r>
    </w:p>
    <w:sectPr>
      <w:type w:val="continuous"/>
      <w:pgSz w:w="12240" w:h="15840" w:orient="portrait"/>
      <w:pgMar w:top="1080" w:right="900" w:bottom="1440" w:left="900" w:header="708" w:footer="708" w:gutter="0"/>
      <w:pgNumType/>
      <w:cols w:num="2" w:space="36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79709e9b73235e2a9cb71434786fe3a0389a0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2026-09-09T08:01:41.326Z</dcterms:created>
  <dcterms:modified xsi:type="dcterms:W3CDTF">2026-09-09T08:01:41.338Z</dcterms:modified>
</cp:coreProperties>
</file>

<file path=docProps/custom.xml><?xml version="1.0" encoding="utf-8"?>
<Properties xmlns="http://schemas.openxmlformats.org/officeDocument/2006/custom-properties" xmlns:vt="http://schemas.openxmlformats.org/officeDocument/2006/docPropsVTypes"/>
</file>