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sz w:val="24"/>
          <w:szCs w:val="24"/>
        </w:rPr>
        <w:t xml:space="preserve"/>
      </w:r>
    </w:p>
    <w:p>
      <w:pPr>
        <w:spacing w:after="0" w:line="480" w:lineRule="auto"/>
      </w:pPr>
      <w:r>
        <w:rPr>
          <w:rFonts w:ascii="Times New Roman" w:cs="Times New Roman" w:eastAsia="Times New Roman" w:hAnsi="Times New Roman"/>
          <w:sz w:val="24"/>
          <w:szCs w:val="24"/>
        </w:rPr>
        <w:t xml:space="preserve"/>
      </w:r>
    </w:p>
    <w:p>
      <w:pPr>
        <w:spacing w:after="0" w:line="480" w:lineRule="auto"/>
        <w:jc w:val="center"/>
      </w:pPr>
      <w:r>
        <w:rPr>
          <w:rFonts w:ascii="Times New Roman" w:cs="Times New Roman" w:eastAsia="Times New Roman" w:hAnsi="Times New Roman"/>
          <w:b/>
          <w:bCs/>
          <w:sz w:val="24"/>
          <w:szCs w:val="24"/>
        </w:rPr>
        <w:t xml:space="preserve">The PDF Dilemma: OCR vs. Vision-Based Parsing</w:t>
      </w:r>
    </w:p>
    <w:p>
      <w:pPr>
        <w:spacing w:after="0" w:line="480" w:lineRule="auto"/>
      </w:pPr>
      <w:r>
        <w:rPr>
          <w:rFonts w:ascii="Times New Roman" w:cs="Times New Roman" w:eastAsia="Times New Roman" w:hAnsi="Times New Roman"/>
          <w:sz w:val="24"/>
          <w:szCs w:val="24"/>
        </w:rPr>
        <w:t xml:space="preserve"/>
      </w:r>
    </w:p>
    <w:p>
      <w:pPr>
        <w:spacing w:after="0" w:line="480" w:lineRule="auto"/>
        <w:jc w:val="center"/>
      </w:pPr>
      <w:r>
        <w:rPr>
          <w:rFonts w:ascii="Times New Roman" w:cs="Times New Roman" w:eastAsia="Times New Roman" w:hAnsi="Times New Roman"/>
          <w:sz w:val="24"/>
          <w:szCs w:val="24"/>
        </w:rPr>
        <w:t xml:space="preserve">Kashish</w:t>
      </w:r>
    </w:p>
    <w:p>
      <w:pPr>
        <w:spacing w:after="0" w:line="480" w:lineRule="auto"/>
        <w:jc w:val="center"/>
      </w:pPr>
      <w:r>
        <w:rPr>
          <w:rFonts w:ascii="Times New Roman" w:cs="Times New Roman" w:eastAsia="Times New Roman" w:hAnsi="Times New Roman"/>
          <w:sz w:val="24"/>
          <w:szCs w:val="24"/>
        </w:rPr>
        <w:t xml:space="preserve">Seneca Polytechnic</w:t>
      </w:r>
    </w:p>
    <w:p>
      <w:pPr>
        <w:spacing w:after="0" w:line="480" w:lineRule="auto"/>
        <w:jc w:val="center"/>
      </w:pPr>
      <w:r>
        <w:rPr>
          <w:rFonts w:ascii="Times New Roman" w:cs="Times New Roman" w:eastAsia="Times New Roman" w:hAnsi="Times New Roman"/>
          <w:sz w:val="24"/>
          <w:szCs w:val="24"/>
        </w:rPr>
        <w:t xml:space="preserve">AIP444: Applied AI Solutions</w:t>
      </w:r>
    </w:p>
    <w:p>
      <w:pPr>
        <w:spacing w:after="0" w:line="480" w:lineRule="auto"/>
        <w:jc w:val="center"/>
      </w:pPr>
      <w:r>
        <w:rPr>
          <w:rFonts w:ascii="Times New Roman" w:cs="Times New Roman" w:eastAsia="Times New Roman" w:hAnsi="Times New Roman"/>
          <w:sz w:val="24"/>
          <w:szCs w:val="24"/>
        </w:rPr>
        <w:t xml:space="preserve">Professor [Instructor Name]</w:t>
      </w:r>
    </w:p>
    <w:p>
      <w:pPr>
        <w:spacing w:after="0" w:line="480" w:lineRule="auto"/>
        <w:jc w:val="center"/>
      </w:pPr>
      <w:r>
        <w:rPr>
          <w:rFonts w:ascii="Times New Roman" w:cs="Times New Roman" w:eastAsia="Times New Roman" w:hAnsi="Times New Roman"/>
          <w:sz w:val="24"/>
          <w:szCs w:val="24"/>
        </w:rPr>
        <w:t xml:space="preserve">[Due Date]</w:t>
      </w:r>
    </w:p>
    <w:p>
      <w:pPr>
        <w:pageBreakBefore/>
      </w:pPr>
      <w:r>
        <w:t xml:space="preserve"/>
      </w:r>
    </w:p>
    <w:p>
      <w:pPr>
        <w:spacing w:after="0" w:line="480" w:lineRule="auto"/>
        <w:jc w:val="center"/>
      </w:pPr>
      <w:r>
        <w:rPr>
          <w:rFonts w:ascii="Times New Roman" w:cs="Times New Roman" w:eastAsia="Times New Roman" w:hAnsi="Times New Roman"/>
          <w:b/>
          <w:bCs/>
          <w:sz w:val="24"/>
          <w:szCs w:val="24"/>
        </w:rPr>
        <w:t xml:space="preserve">The PDF Dilemma: OCR vs. Vision-Based Parsing</w:t>
      </w:r>
    </w:p>
    <w:p>
      <w:pPr>
        <w:spacing w:after="0" w:line="480" w:lineRule="auto"/>
        <w:jc w:val="center"/>
      </w:pPr>
      <w:r>
        <w:rPr>
          <w:rFonts w:ascii="Times New Roman" w:cs="Times New Roman" w:eastAsia="Times New Roman" w:hAnsi="Times New Roman"/>
          <w:b/>
          <w:bCs/>
          <w:sz w:val="24"/>
          <w:szCs w:val="24"/>
        </w:rPr>
        <w:t xml:space="preserve">Research Question</w:t>
      </w:r>
    </w:p>
    <w:p>
      <w:pPr>
        <w:spacing w:after="0" w:line="480" w:lineRule="auto"/>
        <w:ind w:firstLine="720"/>
      </w:pPr>
      <w:r>
        <w:rPr>
          <w:rFonts w:ascii="Times New Roman" w:cs="Times New Roman" w:eastAsia="Times New Roman" w:hAnsi="Times New Roman"/>
          <w:sz w:val="24"/>
          <w:szCs w:val="24"/>
        </w:rPr>
        <w:t xml:space="preserve">When does vision-based PDF parsing outperform traditional text extraction methods in terms of extraction accuracy, table preservation, and content completeness, and are the improvements sufficient to justify the additional processing time and API cost?</w:t>
      </w:r>
    </w:p>
    <w:p>
      <w:pPr>
        <w:spacing w:after="0" w:line="480" w:lineRule="auto"/>
        <w:jc w:val="center"/>
      </w:pPr>
      <w:r>
        <w:rPr>
          <w:rFonts w:ascii="Times New Roman" w:cs="Times New Roman" w:eastAsia="Times New Roman" w:hAnsi="Times New Roman"/>
          <w:b/>
          <w:bCs/>
          <w:sz w:val="24"/>
          <w:szCs w:val="24"/>
        </w:rPr>
        <w:t xml:space="preserve">Hypothesis</w:t>
      </w:r>
    </w:p>
    <w:p>
      <w:pPr>
        <w:spacing w:after="0" w:line="480" w:lineRule="auto"/>
        <w:ind w:firstLine="720"/>
      </w:pPr>
      <w:r>
        <w:rPr>
          <w:rFonts w:ascii="Times New Roman" w:cs="Times New Roman" w:eastAsia="Times New Roman" w:hAnsi="Times New Roman"/>
          <w:sz w:val="24"/>
          <w:szCs w:val="24"/>
        </w:rPr>
        <w:t xml:space="preserve">Traditional text extraction tools such as pdfplumber and PyMuPDF will perform well on simple, digitally generated PDFs that contain mostly plain text. However, vision-based models such as GPT-4o are expected to outperform traditional extraction methods when processing documents with complex layouts, tables, charts, scanned pages, and multi-column formatting. The expected trade-off is higher processing time and greater API cost.</w:t>
      </w:r>
    </w:p>
    <w:p>
      <w:pPr>
        <w:spacing w:after="0" w:line="480" w:lineRule="auto"/>
        <w:jc w:val="center"/>
      </w:pPr>
      <w:r>
        <w:rPr>
          <w:rFonts w:ascii="Times New Roman" w:cs="Times New Roman" w:eastAsia="Times New Roman" w:hAnsi="Times New Roman"/>
          <w:b/>
          <w:bCs/>
          <w:sz w:val="24"/>
          <w:szCs w:val="24"/>
        </w:rPr>
        <w:t xml:space="preserve">Introduction</w:t>
      </w:r>
    </w:p>
    <w:p>
      <w:pPr>
        <w:spacing w:after="0" w:line="480" w:lineRule="auto"/>
        <w:ind w:firstLine="720"/>
      </w:pPr>
      <w:r>
        <w:rPr>
          <w:rFonts w:ascii="Times New Roman" w:cs="Times New Roman" w:eastAsia="Times New Roman" w:hAnsi="Times New Roman"/>
          <w:sz w:val="24"/>
          <w:szCs w:val="24"/>
        </w:rPr>
        <w:t xml:space="preserve">Organizations increasingly rely on PDF documents to store and share important information such as financial reports, research papers, invoices, contracts, and business records. Extracting information from these documents is a critical step in many data processing and Retrieval-Augmented Generation (RAG) systems. However, PDF files often contain complex layouts including tables, charts, images, scanned pages, and multi-column text that can make information extraction difficult.</w:t>
      </w:r>
    </w:p>
    <w:p>
      <w:pPr>
        <w:spacing w:after="0" w:line="480" w:lineRule="auto"/>
        <w:ind w:firstLine="720"/>
      </w:pPr>
      <w:r>
        <w:rPr>
          <w:rFonts w:ascii="Times New Roman" w:cs="Times New Roman" w:eastAsia="Times New Roman" w:hAnsi="Times New Roman"/>
          <w:sz w:val="24"/>
          <w:szCs w:val="24"/>
        </w:rPr>
        <w:t xml:space="preserve">Traditional PDF parsing tools such as pdfplumber and PyMuPDF attempt to extract text directly from the document structure. These methods are generally fast, inexpensive, and easy to implement. However, they may struggle when documents contain complicated formatting or visual elements that are not represented clearly in the underlying text layer.</w:t>
      </w:r>
    </w:p>
    <w:p>
      <w:pPr>
        <w:spacing w:after="0" w:line="480" w:lineRule="auto"/>
        <w:ind w:firstLine="720"/>
      </w:pPr>
      <w:r>
        <w:rPr>
          <w:rFonts w:ascii="Times New Roman" w:cs="Times New Roman" w:eastAsia="Times New Roman" w:hAnsi="Times New Roman"/>
          <w:sz w:val="24"/>
          <w:szCs w:val="24"/>
        </w:rPr>
        <w:t xml:space="preserve">Recent advances in multimodal large language models (LLMs) have introduced a new approach to document parsing. Vision-enabled models such as GPT-4o can analyze PDF pages as images and interpret both visual and textual information simultaneously. This allows them to better understand tables, charts, and page layouts that traditional text extraction methods may fail to process correctly.</w:t>
      </w:r>
    </w:p>
    <w:p>
      <w:pPr>
        <w:spacing w:after="0" w:line="480" w:lineRule="auto"/>
        <w:ind w:firstLine="720"/>
      </w:pPr>
      <w:r>
        <w:rPr>
          <w:rFonts w:ascii="Times New Roman" w:cs="Times New Roman" w:eastAsia="Times New Roman" w:hAnsi="Times New Roman"/>
          <w:sz w:val="24"/>
          <w:szCs w:val="24"/>
        </w:rPr>
        <w:t xml:space="preserve">This research project compares traditional text extraction techniques with vision-based parsing methods using a collection of challenging PDF documents. The study evaluates extraction accuracy, content completeness, table preservation, processing time, and overall cost in order to determine whether the improved performance of vision-based models justifies their higher computational expense.</w:t>
      </w:r>
    </w:p>
    <w:p>
      <w:pPr>
        <w:spacing w:after="0" w:line="480" w:lineRule="auto"/>
        <w:jc w:val="center"/>
      </w:pPr>
      <w:r>
        <w:rPr>
          <w:rFonts w:ascii="Times New Roman" w:cs="Times New Roman" w:eastAsia="Times New Roman" w:hAnsi="Times New Roman"/>
          <w:b/>
          <w:bCs/>
          <w:sz w:val="24"/>
          <w:szCs w:val="24"/>
        </w:rPr>
        <w:t xml:space="preserve">Literature Review</w:t>
      </w:r>
    </w:p>
    <w:p>
      <w:pPr>
        <w:spacing w:after="0" w:line="480" w:lineRule="auto"/>
        <w:ind w:firstLine="720"/>
      </w:pPr>
      <w:r>
        <w:rPr>
          <w:rFonts w:ascii="Times New Roman" w:cs="Times New Roman" w:eastAsia="Times New Roman" w:hAnsi="Times New Roman"/>
          <w:sz w:val="24"/>
          <w:szCs w:val="24"/>
        </w:rPr>
        <w:t xml:space="preserve">Document parsing has become an important area of research due to the growing need to process large volumes of unstructured information. Traditional methods typically rely on Optical Character Recognition (OCR) systems or direct text extraction tools to recover content from PDF documents. While these approaches perform well on simple documents, they often experience difficulties when handling complex layouts such as tables, charts, and scanned images.</w:t>
      </w:r>
    </w:p>
    <w:p>
      <w:pPr>
        <w:spacing w:after="0" w:line="480" w:lineRule="auto"/>
        <w:ind w:firstLine="720"/>
      </w:pPr>
      <w:r>
        <w:rPr>
          <w:rFonts w:ascii="Times New Roman" w:cs="Times New Roman" w:eastAsia="Times New Roman" w:hAnsi="Times New Roman"/>
          <w:sz w:val="24"/>
          <w:szCs w:val="24"/>
        </w:rPr>
        <w:t xml:space="preserve">Xu et al. (2020) introduced LayoutLM, a model designed specifically for document understanding tasks. The authors demonstrated that combining textual content with layout information significantly improves document analysis compared to using text alone. This work highlighted the importance of preserving document structure during extraction. Building on this idea, Xu et al. (2021) developed LayoutLMv2, which adds visual features and spatial relationships to the framework and further improves performance on visually-rich documents.</w:t>
      </w:r>
    </w:p>
    <w:p>
      <w:pPr>
        <w:spacing w:after="0" w:line="480" w:lineRule="auto"/>
        <w:ind w:firstLine="720"/>
      </w:pPr>
      <w:r>
        <w:rPr>
          <w:rFonts w:ascii="Times New Roman" w:cs="Times New Roman" w:eastAsia="Times New Roman" w:hAnsi="Times New Roman"/>
          <w:sz w:val="24"/>
          <w:szCs w:val="24"/>
        </w:rPr>
        <w:t xml:space="preserve">Huang et al. (2022) extended this line of work with LayoutLMv3, which integrates text, layout, and visual features into a single unified architecture. Their results showed improved performance across a variety of document understanding benchmarks, suggesting that visual information plays an important role in accurately interpreting complex documents.</w:t>
      </w:r>
    </w:p>
    <w:p>
      <w:pPr>
        <w:spacing w:after="0" w:line="480" w:lineRule="auto"/>
        <w:ind w:firstLine="720"/>
      </w:pPr>
      <w:r>
        <w:rPr>
          <w:rFonts w:ascii="Times New Roman" w:cs="Times New Roman" w:eastAsia="Times New Roman" w:hAnsi="Times New Roman"/>
          <w:sz w:val="24"/>
          <w:szCs w:val="24"/>
        </w:rPr>
        <w:t xml:space="preserve">Kim et al. (2022) proposed Donut, an OCR-free document understanding transformer. Unlike traditional OCR pipelines, Donut directly processes document images and generates structured outputs. The study demonstrated that vision-based approaches can achieve strong performance without relying on separate OCR systems, reducing some of the limitations associated with text extraction such as error propagation and high computational cost.</w:t>
      </w:r>
    </w:p>
    <w:p>
      <w:pPr>
        <w:spacing w:after="0" w:line="480" w:lineRule="auto"/>
        <w:ind w:firstLine="720"/>
      </w:pPr>
      <w:r>
        <w:rPr>
          <w:rFonts w:ascii="Times New Roman" w:cs="Times New Roman" w:eastAsia="Times New Roman" w:hAnsi="Times New Roman"/>
          <w:sz w:val="24"/>
          <w:szCs w:val="24"/>
        </w:rPr>
        <w:t xml:space="preserve">More recently, large multimodal models such as GPT-4 (OpenAI, 2023) have expanded the capabilities of vision-based document processing. These models can interpret both visual and textual information simultaneously, allowing them to better preserve tables, diagrams, and overall document structure. However, these benefits come with increased computational requirements and API costs.</w:t>
      </w:r>
    </w:p>
    <w:p>
      <w:pPr>
        <w:spacing w:after="0" w:line="480" w:lineRule="auto"/>
        <w:ind w:firstLine="720"/>
      </w:pPr>
      <w:r>
        <w:rPr>
          <w:rFonts w:ascii="Times New Roman" w:cs="Times New Roman" w:eastAsia="Times New Roman" w:hAnsi="Times New Roman"/>
          <w:sz w:val="24"/>
          <w:szCs w:val="24"/>
        </w:rPr>
        <w:t xml:space="preserve">Although previous research has demonstrated the potential of vision-based document understanding, there is limited practical research comparing lightweight text extraction tools and modern vision-based LLMs using real-world PDF documents. This project aims to address that gap by evaluating both approaches on difficult PDFs and analyzing the trade-offs between accuracy, speed, and cost.</w:t>
      </w:r>
    </w:p>
    <w:p>
      <w:pPr>
        <w:spacing w:after="0" w:line="480" w:lineRule="auto"/>
        <w:jc w:val="center"/>
      </w:pPr>
      <w:r>
        <w:rPr>
          <w:rFonts w:ascii="Times New Roman" w:cs="Times New Roman" w:eastAsia="Times New Roman" w:hAnsi="Times New Roman"/>
          <w:b/>
          <w:bCs/>
          <w:sz w:val="24"/>
          <w:szCs w:val="24"/>
        </w:rPr>
        <w:t xml:space="preserve">Evaluation Metrics</w:t>
      </w:r>
    </w:p>
    <w:p>
      <w:pPr>
        <w:spacing w:after="0" w:line="480" w:lineRule="auto"/>
        <w:ind w:firstLine="720"/>
      </w:pPr>
      <w:r>
        <w:rPr>
          <w:rFonts w:ascii="Times New Roman" w:cs="Times New Roman" w:eastAsia="Times New Roman" w:hAnsi="Times New Roman"/>
          <w:sz w:val="24"/>
          <w:szCs w:val="24"/>
        </w:rPr>
        <w:t xml:space="preserve">The following metrics will be used to compare the two approaches across the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999999" w:sz="4"/>
              <w:left w:val="single" w:color="999999" w:sz="4"/>
              <w:bottom w:val="single" w:color="999999" w:sz="4"/>
              <w:right w:val="single" w:color="999999" w:sz="4"/>
            </w:tcBorders>
            <w:shd w:fill="DCE6F1" w:val="clear"/>
            <w:tcMar>
              <w:top w:type="dxa" w:w="60"/>
              <w:left w:type="dxa" w:w="120"/>
              <w:bottom w:type="dxa" w:w="60"/>
              <w:right w:type="dxa" w:w="120"/>
            </w:tcMar>
          </w:tcPr>
          <w:p>
            <w:pPr>
              <w:spacing w:after="0" w:line="240" w:lineRule="auto"/>
            </w:pPr>
            <w:r>
              <w:rPr>
                <w:rFonts w:ascii="Times New Roman" w:cs="Times New Roman" w:eastAsia="Times New Roman" w:hAnsi="Times New Roman"/>
                <w:b/>
                <w:bCs/>
                <w:sz w:val="24"/>
                <w:szCs w:val="24"/>
              </w:rPr>
              <w:t xml:space="preserve">Metric</w:t>
            </w:r>
          </w:p>
        </w:tc>
        <w:tc>
          <w:tcPr>
            <w:tcW w:type="dxa" w:w="6000"/>
            <w:tcBorders>
              <w:top w:val="single" w:color="999999" w:sz="4"/>
              <w:left w:val="single" w:color="999999" w:sz="4"/>
              <w:bottom w:val="single" w:color="999999" w:sz="4"/>
              <w:right w:val="single" w:color="999999" w:sz="4"/>
            </w:tcBorders>
            <w:shd w:fill="DCE6F1" w:val="clear"/>
            <w:tcMar>
              <w:top w:type="dxa" w:w="60"/>
              <w:left w:type="dxa" w:w="120"/>
              <w:bottom w:type="dxa" w:w="60"/>
              <w:right w:type="dxa" w:w="120"/>
            </w:tcMar>
          </w:tcPr>
          <w:p>
            <w:pPr>
              <w:spacing w:after="0" w:line="240" w:lineRule="auto"/>
            </w:pPr>
            <w:r>
              <w:rPr>
                <w:rFonts w:ascii="Times New Roman" w:cs="Times New Roman" w:eastAsia="Times New Roman" w:hAnsi="Times New Roman"/>
                <w:b/>
                <w:bCs/>
                <w:sz w:val="24"/>
                <w:szCs w:val="24"/>
              </w:rPr>
              <w:t xml:space="preserve">Description</w:t>
            </w:r>
          </w:p>
        </w:tc>
      </w:tr>
      <w:tr>
        <w:tc>
          <w:tcPr>
            <w:tcW w:type="dxa" w:w="336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line="240" w:lineRule="auto"/>
            </w:pPr>
            <w:r>
              <w:rPr>
                <w:rFonts w:ascii="Times New Roman" w:cs="Times New Roman" w:eastAsia="Times New Roman" w:hAnsi="Times New Roman"/>
                <w:b w:val="false"/>
                <w:bCs w:val="false"/>
                <w:sz w:val="24"/>
                <w:szCs w:val="24"/>
              </w:rPr>
              <w:t xml:space="preserve">Character Accuracy (%)</w:t>
            </w:r>
          </w:p>
        </w:tc>
        <w:tc>
          <w:tcPr>
            <w:tcW w:type="dxa" w:w="6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line="240" w:lineRule="auto"/>
            </w:pPr>
            <w:r>
              <w:rPr>
                <w:rFonts w:ascii="Times New Roman" w:cs="Times New Roman" w:eastAsia="Times New Roman" w:hAnsi="Times New Roman"/>
                <w:b w:val="false"/>
                <w:bCs w:val="false"/>
                <w:sz w:val="24"/>
                <w:szCs w:val="24"/>
              </w:rPr>
              <w:t xml:space="preserve">Percentage of text correctly extracted</w:t>
            </w:r>
          </w:p>
        </w:tc>
      </w:tr>
      <w:tr>
        <w:tc>
          <w:tcPr>
            <w:tcW w:type="dxa" w:w="336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line="240" w:lineRule="auto"/>
            </w:pPr>
            <w:r>
              <w:rPr>
                <w:rFonts w:ascii="Times New Roman" w:cs="Times New Roman" w:eastAsia="Times New Roman" w:hAnsi="Times New Roman"/>
                <w:b w:val="false"/>
                <w:bCs w:val="false"/>
                <w:sz w:val="24"/>
                <w:szCs w:val="24"/>
              </w:rPr>
              <w:t xml:space="preserve">Content Completeness (%)</w:t>
            </w:r>
          </w:p>
        </w:tc>
        <w:tc>
          <w:tcPr>
            <w:tcW w:type="dxa" w:w="6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line="240" w:lineRule="auto"/>
            </w:pPr>
            <w:r>
              <w:rPr>
                <w:rFonts w:ascii="Times New Roman" w:cs="Times New Roman" w:eastAsia="Times New Roman" w:hAnsi="Times New Roman"/>
                <w:b w:val="false"/>
                <w:bCs w:val="false"/>
                <w:sz w:val="24"/>
                <w:szCs w:val="24"/>
              </w:rPr>
              <w:t xml:space="preserve">Amount of document content successfully captured</w:t>
            </w:r>
          </w:p>
        </w:tc>
      </w:tr>
      <w:tr>
        <w:tc>
          <w:tcPr>
            <w:tcW w:type="dxa" w:w="336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line="240" w:lineRule="auto"/>
            </w:pPr>
            <w:r>
              <w:rPr>
                <w:rFonts w:ascii="Times New Roman" w:cs="Times New Roman" w:eastAsia="Times New Roman" w:hAnsi="Times New Roman"/>
                <w:b w:val="false"/>
                <w:bCs w:val="false"/>
                <w:sz w:val="24"/>
                <w:szCs w:val="24"/>
              </w:rPr>
              <w:t xml:space="preserve">Table Structure Score (1–5)</w:t>
            </w:r>
          </w:p>
        </w:tc>
        <w:tc>
          <w:tcPr>
            <w:tcW w:type="dxa" w:w="6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line="240" w:lineRule="auto"/>
            </w:pPr>
            <w:r>
              <w:rPr>
                <w:rFonts w:ascii="Times New Roman" w:cs="Times New Roman" w:eastAsia="Times New Roman" w:hAnsi="Times New Roman"/>
                <w:b w:val="false"/>
                <w:bCs w:val="false"/>
                <w:sz w:val="24"/>
                <w:szCs w:val="24"/>
              </w:rPr>
              <w:t xml:space="preserve">How accurately tables are preserved</w:t>
            </w:r>
          </w:p>
        </w:tc>
      </w:tr>
      <w:tr>
        <w:tc>
          <w:tcPr>
            <w:tcW w:type="dxa" w:w="336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line="240" w:lineRule="auto"/>
            </w:pPr>
            <w:r>
              <w:rPr>
                <w:rFonts w:ascii="Times New Roman" w:cs="Times New Roman" w:eastAsia="Times New Roman" w:hAnsi="Times New Roman"/>
                <w:b w:val="false"/>
                <w:bCs w:val="false"/>
                <w:sz w:val="24"/>
                <w:szCs w:val="24"/>
              </w:rPr>
              <w:t xml:space="preserve">Processing Time (seconds)</w:t>
            </w:r>
          </w:p>
        </w:tc>
        <w:tc>
          <w:tcPr>
            <w:tcW w:type="dxa" w:w="6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line="240" w:lineRule="auto"/>
            </w:pPr>
            <w:r>
              <w:rPr>
                <w:rFonts w:ascii="Times New Roman" w:cs="Times New Roman" w:eastAsia="Times New Roman" w:hAnsi="Times New Roman"/>
                <w:b w:val="false"/>
                <w:bCs w:val="false"/>
                <w:sz w:val="24"/>
                <w:szCs w:val="24"/>
              </w:rPr>
              <w:t xml:space="preserve">Time required to process each PDF</w:t>
            </w:r>
          </w:p>
        </w:tc>
      </w:tr>
      <w:tr>
        <w:tc>
          <w:tcPr>
            <w:tcW w:type="dxa" w:w="336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line="240" w:lineRule="auto"/>
            </w:pPr>
            <w:r>
              <w:rPr>
                <w:rFonts w:ascii="Times New Roman" w:cs="Times New Roman" w:eastAsia="Times New Roman" w:hAnsi="Times New Roman"/>
                <w:b w:val="false"/>
                <w:bCs w:val="false"/>
                <w:sz w:val="24"/>
                <w:szCs w:val="24"/>
              </w:rPr>
              <w:t xml:space="preserve">API Cost ($)</w:t>
            </w:r>
          </w:p>
        </w:tc>
        <w:tc>
          <w:tcPr>
            <w:tcW w:type="dxa" w:w="6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line="240" w:lineRule="auto"/>
            </w:pPr>
            <w:r>
              <w:rPr>
                <w:rFonts w:ascii="Times New Roman" w:cs="Times New Roman" w:eastAsia="Times New Roman" w:hAnsi="Times New Roman"/>
                <w:b w:val="false"/>
                <w:bCs w:val="false"/>
                <w:sz w:val="24"/>
                <w:szCs w:val="24"/>
              </w:rPr>
              <w:t xml:space="preserve">Cost associated with each extraction method</w:t>
            </w:r>
          </w:p>
        </w:tc>
      </w:tr>
    </w:tbl>
    <w:p>
      <w:pPr>
        <w:spacing w:after="0" w:line="480" w:lineRule="auto"/>
      </w:pPr>
      <w:r>
        <w:rPr>
          <w:rFonts w:ascii="Times New Roman" w:cs="Times New Roman" w:eastAsia="Times New Roman" w:hAnsi="Times New Roman"/>
          <w:sz w:val="24"/>
          <w:szCs w:val="24"/>
        </w:rPr>
        <w:t xml:space="preserve"/>
      </w:r>
    </w:p>
    <w:p>
      <w:pPr>
        <w:pageBreakBefore/>
        <w:spacing w:after="0" w:line="480" w:lineRule="auto"/>
        <w:jc w:val="center"/>
      </w:pPr>
      <w:r>
        <w:rPr>
          <w:rFonts w:ascii="Times New Roman" w:cs="Times New Roman" w:eastAsia="Times New Roman" w:hAnsi="Times New Roman"/>
          <w:b/>
          <w:bCs/>
          <w:sz w:val="24"/>
          <w:szCs w:val="24"/>
        </w:rPr>
        <w:t xml:space="preserve">References</w:t>
      </w:r>
    </w:p>
    <w:p>
      <w:pPr>
        <w:spacing w:after="0" w:line="480" w:lineRule="auto"/>
        <w:ind w:left="720" w:hanging="720"/>
      </w:pPr>
      <w:r>
        <w:rPr>
          <w:rFonts w:ascii="Times New Roman" w:cs="Times New Roman" w:eastAsia="Times New Roman" w:hAnsi="Times New Roman"/>
          <w:i w:val="false"/>
          <w:iCs w:val="false"/>
          <w:sz w:val="24"/>
          <w:szCs w:val="24"/>
        </w:rPr>
        <w:t xml:space="preserve">Huang, Y., Lv, T., Cui, L., Lu, Y., &amp; Wei, F. (2022). LayoutLMv3: Pre-training for document AI with unified text and image masking. In </w:t>
      </w:r>
      <w:r>
        <w:rPr>
          <w:rFonts w:ascii="Times New Roman" w:cs="Times New Roman" w:eastAsia="Times New Roman" w:hAnsi="Times New Roman"/>
          <w:i/>
          <w:iCs/>
          <w:sz w:val="24"/>
          <w:szCs w:val="24"/>
        </w:rPr>
        <w:t xml:space="preserve">Proceedings of the 30th ACM International Conference on Multimedia</w:t>
      </w:r>
      <w:r>
        <w:rPr>
          <w:rFonts w:ascii="Times New Roman" w:cs="Times New Roman" w:eastAsia="Times New Roman" w:hAnsi="Times New Roman"/>
          <w:i w:val="false"/>
          <w:iCs w:val="false"/>
          <w:sz w:val="24"/>
          <w:szCs w:val="24"/>
        </w:rPr>
        <w:t xml:space="preserve"> (pp. 4083–4091). Association for Computing Machinery. </w:t>
      </w:r>
      <w:hyperlink w:history="1" r:id="rId3nk0ctkzrd3mqp7dwn4v_">
        <w:r>
          <w:rPr>
            <w:rStyle w:val="Hyperlink"/>
            <w:rFonts w:ascii="Times New Roman" w:cs="Times New Roman" w:eastAsia="Times New Roman" w:hAnsi="Times New Roman"/>
            <w:sz w:val="24"/>
            <w:szCs w:val="24"/>
          </w:rPr>
          <w:t xml:space="preserve">https://doi.org/10.1145/3503161.3548112</w:t>
        </w:r>
      </w:hyperlink>
    </w:p>
    <w:p>
      <w:pPr>
        <w:spacing w:after="0" w:line="480" w:lineRule="auto"/>
        <w:ind w:left="720" w:hanging="720"/>
      </w:pPr>
      <w:r>
        <w:rPr>
          <w:rFonts w:ascii="Times New Roman" w:cs="Times New Roman" w:eastAsia="Times New Roman" w:hAnsi="Times New Roman"/>
          <w:i w:val="false"/>
          <w:iCs w:val="false"/>
          <w:sz w:val="24"/>
          <w:szCs w:val="24"/>
        </w:rPr>
        <w:t xml:space="preserve">Kim, G., Hong, T., Yim, M., Nam, J., Park, J., Yim, J., Hwang, W., Yun, S., Han, D., &amp; Park, S. (2022). OCR-free document understanding transformer. In </w:t>
      </w:r>
      <w:r>
        <w:rPr>
          <w:rFonts w:ascii="Times New Roman" w:cs="Times New Roman" w:eastAsia="Times New Roman" w:hAnsi="Times New Roman"/>
          <w:i/>
          <w:iCs/>
          <w:sz w:val="24"/>
          <w:szCs w:val="24"/>
        </w:rPr>
        <w:t xml:space="preserve">Computer Vision – ECCV 2022</w:t>
      </w:r>
      <w:r>
        <w:rPr>
          <w:rFonts w:ascii="Times New Roman" w:cs="Times New Roman" w:eastAsia="Times New Roman" w:hAnsi="Times New Roman"/>
          <w:i w:val="false"/>
          <w:iCs w:val="false"/>
          <w:sz w:val="24"/>
          <w:szCs w:val="24"/>
        </w:rPr>
        <w:t xml:space="preserve"> (Lecture Notes in Computer Science, Vol. 13688, pp. 498–517). Springer. </w:t>
      </w:r>
      <w:hyperlink w:history="1" r:id="rIdp2ccb8y3xmgosmxe2s1fb">
        <w:r>
          <w:rPr>
            <w:rStyle w:val="Hyperlink"/>
            <w:rFonts w:ascii="Times New Roman" w:cs="Times New Roman" w:eastAsia="Times New Roman" w:hAnsi="Times New Roman"/>
            <w:sz w:val="24"/>
            <w:szCs w:val="24"/>
          </w:rPr>
          <w:t xml:space="preserve">https://doi.org/10.1007/978-3-031-19815-1_29</w:t>
        </w:r>
      </w:hyperlink>
    </w:p>
    <w:p>
      <w:pPr>
        <w:spacing w:after="0" w:line="480" w:lineRule="auto"/>
        <w:ind w:left="720" w:hanging="720"/>
      </w:pPr>
      <w:r>
        <w:rPr>
          <w:rFonts w:ascii="Times New Roman" w:cs="Times New Roman" w:eastAsia="Times New Roman" w:hAnsi="Times New Roman"/>
          <w:i w:val="false"/>
          <w:iCs w:val="false"/>
          <w:sz w:val="24"/>
          <w:szCs w:val="24"/>
        </w:rPr>
        <w:t xml:space="preserve">OpenAI. (2023). </w:t>
      </w:r>
      <w:r>
        <w:rPr>
          <w:rFonts w:ascii="Times New Roman" w:cs="Times New Roman" w:eastAsia="Times New Roman" w:hAnsi="Times New Roman"/>
          <w:i/>
          <w:iCs/>
          <w:sz w:val="24"/>
          <w:szCs w:val="24"/>
        </w:rPr>
        <w:t xml:space="preserve">GPT-4 technical report</w:t>
      </w:r>
      <w:r>
        <w:rPr>
          <w:rFonts w:ascii="Times New Roman" w:cs="Times New Roman" w:eastAsia="Times New Roman" w:hAnsi="Times New Roman"/>
          <w:i w:val="false"/>
          <w:iCs w:val="false"/>
          <w:sz w:val="24"/>
          <w:szCs w:val="24"/>
        </w:rPr>
        <w:t xml:space="preserve">. arXiv. </w:t>
      </w:r>
      <w:hyperlink w:history="1" r:id="rIdlf8inbfjpbkgravhsilsu">
        <w:r>
          <w:rPr>
            <w:rStyle w:val="Hyperlink"/>
            <w:rFonts w:ascii="Times New Roman" w:cs="Times New Roman" w:eastAsia="Times New Roman" w:hAnsi="Times New Roman"/>
            <w:sz w:val="24"/>
            <w:szCs w:val="24"/>
          </w:rPr>
          <w:t xml:space="preserve">https://arxiv.org/abs/2303.08774</w:t>
        </w:r>
      </w:hyperlink>
    </w:p>
    <w:p>
      <w:pPr>
        <w:spacing w:after="0" w:line="480" w:lineRule="auto"/>
        <w:ind w:left="720" w:hanging="720"/>
      </w:pPr>
      <w:r>
        <w:rPr>
          <w:rFonts w:ascii="Times New Roman" w:cs="Times New Roman" w:eastAsia="Times New Roman" w:hAnsi="Times New Roman"/>
          <w:i w:val="false"/>
          <w:iCs w:val="false"/>
          <w:sz w:val="24"/>
          <w:szCs w:val="24"/>
        </w:rPr>
        <w:t xml:space="preserve">Xu, Y., Li, M., Cui, L., Huang, S., Wei, F., &amp; Zhou, M. (2020). LayoutLM: Pre-training of text and layout for document image understanding. In </w:t>
      </w:r>
      <w:r>
        <w:rPr>
          <w:rFonts w:ascii="Times New Roman" w:cs="Times New Roman" w:eastAsia="Times New Roman" w:hAnsi="Times New Roman"/>
          <w:i/>
          <w:iCs/>
          <w:sz w:val="24"/>
          <w:szCs w:val="24"/>
        </w:rPr>
        <w:t xml:space="preserve">Proceedings of the 26th ACM SIGKDD International Conference on Knowledge Discovery &amp; Data Mining</w:t>
      </w:r>
      <w:r>
        <w:rPr>
          <w:rFonts w:ascii="Times New Roman" w:cs="Times New Roman" w:eastAsia="Times New Roman" w:hAnsi="Times New Roman"/>
          <w:i w:val="false"/>
          <w:iCs w:val="false"/>
          <w:sz w:val="24"/>
          <w:szCs w:val="24"/>
        </w:rPr>
        <w:t xml:space="preserve"> (pp. 1192–1200). Association for Computing Machinery. </w:t>
      </w:r>
      <w:hyperlink w:history="1" r:id="rId57d_9dhb8umdyxfkmhxyz">
        <w:r>
          <w:rPr>
            <w:rStyle w:val="Hyperlink"/>
            <w:rFonts w:ascii="Times New Roman" w:cs="Times New Roman" w:eastAsia="Times New Roman" w:hAnsi="Times New Roman"/>
            <w:sz w:val="24"/>
            <w:szCs w:val="24"/>
          </w:rPr>
          <w:t xml:space="preserve">https://doi.org/10.1145/3394486.3403172</w:t>
        </w:r>
      </w:hyperlink>
    </w:p>
    <w:p>
      <w:pPr>
        <w:spacing w:after="0" w:line="480" w:lineRule="auto"/>
        <w:ind w:left="720" w:hanging="720"/>
      </w:pPr>
      <w:r>
        <w:rPr>
          <w:rFonts w:ascii="Times New Roman" w:cs="Times New Roman" w:eastAsia="Times New Roman" w:hAnsi="Times New Roman"/>
          <w:i w:val="false"/>
          <w:iCs w:val="false"/>
          <w:sz w:val="24"/>
          <w:szCs w:val="24"/>
        </w:rPr>
        <w:t xml:space="preserve">Xu, Y., Xu, Y., Lv, T., Cui, L., Wei, F., Wang, G., Lu, Y., Florencio, D., Zhang, C., Che, W., Zhang, M., &amp; Zhou, L. (2021). LayoutLMv2: Multi-modal pre-training for visually-rich document understanding. In </w:t>
      </w:r>
      <w:r>
        <w:rPr>
          <w:rFonts w:ascii="Times New Roman" w:cs="Times New Roman" w:eastAsia="Times New Roman" w:hAnsi="Times New Roman"/>
          <w:i/>
          <w:iCs/>
          <w:sz w:val="24"/>
          <w:szCs w:val="24"/>
        </w:rPr>
        <w:t xml:space="preserve">Proceedings of the 59th Annual Meeting of the Association for Computational Linguistics and the 11th International Joint Conference on Natural Language Processing</w:t>
      </w:r>
      <w:r>
        <w:rPr>
          <w:rFonts w:ascii="Times New Roman" w:cs="Times New Roman" w:eastAsia="Times New Roman" w:hAnsi="Times New Roman"/>
          <w:i w:val="false"/>
          <w:iCs w:val="false"/>
          <w:sz w:val="24"/>
          <w:szCs w:val="24"/>
        </w:rPr>
        <w:t xml:space="preserve"> (Vol. 1, pp. 2579–2591). Association for Computational Linguistics. </w:t>
      </w:r>
      <w:hyperlink w:history="1" r:id="rIdrmzrzg1z6vvno5zd7tpss">
        <w:r>
          <w:rPr>
            <w:rStyle w:val="Hyperlink"/>
            <w:rFonts w:ascii="Times New Roman" w:cs="Times New Roman" w:eastAsia="Times New Roman" w:hAnsi="Times New Roman"/>
            <w:sz w:val="24"/>
            <w:szCs w:val="24"/>
          </w:rPr>
          <w:t xml:space="preserve">https://doi.org/10.18653/v1/2021.acl-long.201</w:t>
        </w:r>
      </w:hyperlink>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3nk0ctkzrd3mqp7dwn4v_" Type="http://schemas.openxmlformats.org/officeDocument/2006/relationships/hyperlink" Target="https://doi.org/10.1145/3503161.3548112" TargetMode="External"/><Relationship Id="rIdp2ccb8y3xmgosmxe2s1fb" Type="http://schemas.openxmlformats.org/officeDocument/2006/relationships/hyperlink" Target="https://doi.org/10.1007/978-3-031-19815-1_29" TargetMode="External"/><Relationship Id="rIdlf8inbfjpbkgravhsilsu" Type="http://schemas.openxmlformats.org/officeDocument/2006/relationships/hyperlink" Target="https://arxiv.org/abs/2303.08774" TargetMode="External"/><Relationship Id="rId57d_9dhb8umdyxfkmhxyz" Type="http://schemas.openxmlformats.org/officeDocument/2006/relationships/hyperlink" Target="https://doi.org/10.1145/3394486.3403172" TargetMode="External"/><Relationship Id="rIdrmzrzg1z6vvno5zd7tpss" Type="http://schemas.openxmlformats.org/officeDocument/2006/relationships/hyperlink" Target="https://doi.org/10.18653/v1/2021.acl-long.201"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2026-06-10T14:50:45.688Z</dcterms:created>
  <dcterms:modified xsi:type="dcterms:W3CDTF">2026-06-10T14:50:45.688Z</dcterms:modified>
</cp:coreProperties>
</file>

<file path=docProps/custom.xml><?xml version="1.0" encoding="utf-8"?>
<Properties xmlns="http://schemas.openxmlformats.org/officeDocument/2006/custom-properties" xmlns:vt="http://schemas.openxmlformats.org/officeDocument/2006/docPropsVTypes"/>
</file>