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EXPENSE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FIN-POL-002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320"/>
          </w:tcPr>
          <w:p>
            <w:r>
              <w:t>Employee Expense and Reimbursement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</w:rPr>
        <w:t>1. Purpose</w:t>
      </w:r>
    </w:p>
    <w:p>
      <w:r>
        <w:t>This policy defines eligible employee expenses, reimbursement limits, approval requirements, supporting documentation, and reimbursement procedures.</w:t>
      </w:r>
    </w:p>
    <w:p>
      <w:r>
        <w:rPr>
          <w:b/>
        </w:rPr>
        <w:t>2. Scope</w:t>
      </w:r>
    </w:p>
    <w:p>
      <w:r>
        <w:t>The policy applies to employees incurring legitimate business expenses on behalf of NovaCore Technologies Pvt. Ltd.</w:t>
      </w:r>
    </w:p>
    <w:p>
      <w:r>
        <w:rPr>
          <w:b/>
        </w:rPr>
        <w:t>3. General Principles</w:t>
      </w:r>
    </w:p>
    <w:p>
      <w:r>
        <w:t>Expenses must be business-related, reasonable, documented, within applicable limits, and submitted within the required timeline.</w:t>
      </w:r>
    </w:p>
    <w:p>
      <w:r>
        <w:rPr>
          <w:b/>
        </w:rPr>
        <w:t>4. Expense Categories and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Expense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Maximum Reimbursement 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₹6,000 per night</w:t>
            </w:r>
          </w:p>
        </w:tc>
        <w:tc>
          <w:tcPr>
            <w:tcW w:type="dxa" w:w="2880"/>
          </w:tcPr>
          <w:p>
            <w:r>
              <w:t>Business travel; supporting invoice required</w:t>
            </w:r>
          </w:p>
        </w:tc>
      </w:tr>
      <w:tr>
        <w:tc>
          <w:tcPr>
            <w:tcW w:type="dxa" w:w="2880"/>
          </w:tcPr>
          <w:p>
            <w:r>
              <w:t>Meals</w:t>
            </w:r>
          </w:p>
        </w:tc>
        <w:tc>
          <w:tcPr>
            <w:tcW w:type="dxa" w:w="2880"/>
          </w:tcPr>
          <w:p>
            <w:r>
              <w:t>₹1,500 per day</w:t>
            </w:r>
          </w:p>
        </w:tc>
        <w:tc>
          <w:tcPr>
            <w:tcW w:type="dxa" w:w="2880"/>
          </w:tcPr>
          <w:p>
            <w:r>
              <w:t>Business travel or approved business activity</w:t>
            </w:r>
          </w:p>
        </w:tc>
      </w:tr>
      <w:tr>
        <w:tc>
          <w:tcPr>
            <w:tcW w:type="dxa" w:w="2880"/>
          </w:tcPr>
          <w:p>
            <w:r>
              <w:t>Local Transport</w:t>
            </w:r>
          </w:p>
        </w:tc>
        <w:tc>
          <w:tcPr>
            <w:tcW w:type="dxa" w:w="2880"/>
          </w:tcPr>
          <w:p>
            <w:r>
              <w:t>₹1,000 per day</w:t>
            </w:r>
          </w:p>
        </w:tc>
        <w:tc>
          <w:tcPr>
            <w:tcW w:type="dxa" w:w="2880"/>
          </w:tcPr>
          <w:p>
            <w:r>
              <w:t>Business-related local travel</w:t>
            </w:r>
          </w:p>
        </w:tc>
      </w:tr>
      <w:tr>
        <w:tc>
          <w:tcPr>
            <w:tcW w:type="dxa" w:w="2880"/>
          </w:tcPr>
          <w:p>
            <w:r>
              <w:t>Client Entertainment</w:t>
            </w:r>
          </w:p>
        </w:tc>
        <w:tc>
          <w:tcPr>
            <w:tcW w:type="dxa" w:w="2880"/>
          </w:tcPr>
          <w:p>
            <w:r>
              <w:t>₹3,000 per person</w:t>
            </w:r>
          </w:p>
        </w:tc>
        <w:tc>
          <w:tcPr>
            <w:tcW w:type="dxa" w:w="2880"/>
          </w:tcPr>
          <w:p>
            <w:r>
              <w:t>Business purpose and participant details required</w:t>
            </w:r>
          </w:p>
        </w:tc>
      </w:tr>
      <w:tr>
        <w:tc>
          <w:tcPr>
            <w:tcW w:type="dxa" w:w="2880"/>
          </w:tcPr>
          <w:p>
            <w:r>
              <w:t>Miscellaneous</w:t>
            </w:r>
          </w:p>
        </w:tc>
        <w:tc>
          <w:tcPr>
            <w:tcW w:type="dxa" w:w="2880"/>
          </w:tcPr>
          <w:p>
            <w:r>
              <w:t>₹5,000 per claim</w:t>
            </w:r>
          </w:p>
        </w:tc>
        <w:tc>
          <w:tcPr>
            <w:tcW w:type="dxa" w:w="2880"/>
          </w:tcPr>
          <w:p>
            <w:r>
              <w:t>Must be business-related and justified</w:t>
            </w:r>
          </w:p>
        </w:tc>
      </w:tr>
    </w:tbl>
    <w:p>
      <w:r>
        <w:rPr>
          <w:b/>
        </w:rPr>
        <w:t>5. Approval Requirements</w:t>
      </w:r>
    </w:p>
    <w:p>
      <w:r>
        <w:t>Claims up to ₹25,000 require manager approval. Claims from ₹25,001 to ₹1,00,000 require Department Head approval. Claims above ₹1,00,000 require Finance Controller approval.</w:t>
      </w:r>
    </w:p>
    <w:p>
      <w:r>
        <w:rPr>
          <w:b/>
        </w:rPr>
        <w:t>6. Submission Deadline</w:t>
      </w:r>
    </w:p>
    <w:p>
      <w:r>
        <w:t>Employees must submit claims within 15 calendar days of the expense date.</w:t>
      </w:r>
    </w:p>
    <w:p>
      <w:r>
        <w:rPr>
          <w:b/>
        </w:rPr>
        <w:t>7. Supporting Documentation</w:t>
      </w:r>
    </w:p>
    <w:p>
      <w:r>
        <w:t>Valid invoices, receipts, travel records, participant details where applicable, and business justification must accompany claims.</w:t>
      </w:r>
    </w:p>
    <w:p>
      <w:r>
        <w:rPr>
          <w:b/>
        </w:rPr>
        <w:t>8. Reimbursement Process</w:t>
      </w:r>
    </w:p>
    <w:p>
      <w:r>
        <w:t>The employee submits the claim; the designated approver reviews it; Finance validates compliance; approved claims are processed.</w:t>
      </w:r>
    </w:p>
    <w:p>
      <w:r>
        <w:rPr>
          <w:b/>
        </w:rPr>
        <w:t>9. Non-Reimbursable Expenses</w:t>
      </w:r>
    </w:p>
    <w:p>
      <w:r>
        <w:t>Personal expenses, unsupported expenses, expenses outside limits without an authorized exception, penalties or fines, and unrelated expenses are not reimbursable.</w:t>
      </w:r>
    </w:p>
    <w:p>
      <w:r>
        <w:rPr>
          <w:b/>
        </w:rPr>
        <w:t>10. Exceptions</w:t>
      </w:r>
    </w:p>
    <w:p>
      <w:r>
        <w:t>Exceptional expenses may be considered with documented business justification and appropriate approval.</w:t>
      </w:r>
    </w:p>
    <w:p>
      <w:r>
        <w:rPr>
          <w:b/>
        </w:rPr>
        <w:t>11. Responsibilities</w:t>
      </w:r>
    </w:p>
    <w:p>
      <w:r>
        <w:t>Employees submit accurate claims. Managers and Department Heads review business necessity. Finance validates compliance and reimbursement eligibility.</w:t>
      </w:r>
    </w:p>
    <w:p>
      <w:r>
        <w:rPr>
          <w:b/>
        </w:rPr>
        <w:t>12. Record Retention</w:t>
      </w:r>
    </w:p>
    <w:p>
      <w:r>
        <w:t>Expense claims and supporting records must be retained for 7 years unless a longer period is required.</w:t>
      </w:r>
    </w:p>
    <w:p>
      <w:r>
        <w:rPr>
          <w:b/>
        </w:rPr>
        <w:t>13. Revision History</w:t>
      </w:r>
    </w:p>
    <w:p>
      <w:r>
        <w:t>2025 — Initial policy issued. 2026 — Expense limits, approval levels, and emergency handling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