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 - Financial Bid Schedule</w:t>
      </w:r>
    </w:p>
    <w:p>
      <w:pPr>
        <w:pStyle w:val="Heading1"/>
      </w:pPr>
      <w:r>
        <w:t>1. Pricing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Price (₹)</w:t>
            </w:r>
          </w:p>
        </w:tc>
        <w:tc>
          <w:tcPr>
            <w:tcW w:type="dxa" w:w="1728"/>
          </w:tcPr>
          <w:p>
            <w:r>
              <w:t>Total (₹)</w:t>
            </w:r>
          </w:p>
        </w:tc>
        <w:tc>
          <w:tcPr>
            <w:tcW w:type="dxa" w:w="1728"/>
          </w:tcPr>
          <w:p>
            <w:r>
              <w:t>GST (%)</w:t>
            </w:r>
          </w:p>
        </w:tc>
      </w:tr>
      <w:tr>
        <w:tc>
          <w:tcPr>
            <w:tcW w:type="dxa" w:w="1728"/>
          </w:tcPr>
          <w:p>
            <w:r>
              <w:t>Laptop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50,00,000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Delivery Charges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</w:tbl>
    <w:p>
      <w:pPr>
        <w:pStyle w:val="Heading1"/>
      </w:pPr>
      <w:r>
        <w:t>2. Total Cost Summary</w:t>
      </w:r>
    </w:p>
    <w:p>
      <w:r>
        <w:t>Subtotal: ₹50,50,000</w:t>
      </w:r>
    </w:p>
    <w:p>
      <w:r>
        <w:t>GST: ₹9,09,000</w:t>
      </w:r>
    </w:p>
    <w:p>
      <w:r>
        <w:t>Grand Total: ₹59,59,000</w:t>
      </w:r>
    </w:p>
    <w:p>
      <w:pPr>
        <w:pStyle w:val="Heading1"/>
      </w:pPr>
      <w:r>
        <w:t>3. Declaration</w:t>
      </w:r>
    </w:p>
    <w:p>
      <w:r>
        <w:t>Prices quoted are inclusive of all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