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Architecture Document</w:t>
      </w:r>
    </w:p>
    <w:p>
      <w:r>
        <w:t>Scope: Describe system layers, integrations, data flow and deployment model.</w:t>
        <w:br/>
      </w:r>
    </w:p>
    <w:p>
      <w:pPr>
        <w:pStyle w:val="Heading2"/>
      </w:pPr>
      <w:r>
        <w:t>Architecture Overview</w:t>
      </w:r>
    </w:p>
    <w:p>
      <w:r>
        <w:t>The solution uses an API Gateway for ingestion, PostgreSQL for storage, an ML Service running NLP models for classification and sentiment analysis, and a Dashboard for visualisation. See diagram below.</w:t>
      </w:r>
    </w:p>
    <w:p>
      <w:r>
        <w:drawing>
          <wp:inline xmlns:a="http://schemas.openxmlformats.org/drawingml/2006/main" xmlns:pic="http://schemas.openxmlformats.org/drawingml/2006/picture">
            <wp:extent cx="5486400" cy="2814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7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Prepared by Mahesh | Government AI/ML Case Study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