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Outcome-based integration support for a public health authority</w:t>
      </w:r>
    </w:p>
    <w:p>
      <w:r>
        <w:t>Client: Public health regulator (GCC)</w:t>
      </w:r>
    </w:p>
    <w:p>
      <w:r>
        <w:t>Industry: Healthcare – Public sector</w:t>
      </w:r>
    </w:p>
    <w:p>
      <w:pPr>
        <w:pStyle w:val="Heading2"/>
      </w:pPr>
      <w:r>
        <w:t>Challenge</w:t>
      </w:r>
    </w:p>
    <w:p>
      <w:r>
        <w:t>The authority relied on a single named contractor to keep its Rhapsody integration engine running. Incidents were resolved slowly and new interface requests waited months, putting clinical data exchange at risk.</w:t>
      </w:r>
    </w:p>
    <w:p>
      <w:pPr>
        <w:pStyle w:val="Heading2"/>
      </w:pPr>
      <w:r>
        <w:t>What we did</w:t>
      </w:r>
    </w:p>
    <w:p>
      <w:pPr>
        <w:pStyle w:val="ListBullet"/>
      </w:pPr>
      <w:r>
        <w:t>Transitioned 210 HL7 v2 and FHIR interfaces in four weeks using our Transition-in-a-Box accelerator.</w:t>
      </w:r>
    </w:p>
    <w:p>
      <w:pPr>
        <w:pStyle w:val="ListBullet"/>
      </w:pPr>
      <w:r>
        <w:t>Introduced 24x7 monitoring with queue and alert dashboards and ITIL-aligned incident, problem and change management.</w:t>
      </w:r>
    </w:p>
    <w:p>
      <w:pPr>
        <w:pStyle w:val="ListBullet"/>
      </w:pPr>
      <w:r>
        <w:t>Delivered new interfaces through two-week sprints governed by the client's change advisory board.</w:t>
      </w:r>
    </w:p>
    <w:p>
      <w:pPr>
        <w:pStyle w:val="Heading2"/>
      </w:pPr>
      <w:r>
        <w:t>Results</w:t>
      </w:r>
    </w:p>
    <w:p>
      <w:pPr>
        <w:pStyle w:val="ListBullet"/>
      </w:pPr>
      <w:r>
        <w:t>P1 incidents resolved within 2 hours in 98% of cases.</w:t>
      </w:r>
    </w:p>
    <w:p>
      <w:pPr>
        <w:pStyle w:val="ListBullet"/>
      </w:pPr>
      <w:r>
        <w:t>Interface backlog cleared in 5 months.</w:t>
      </w:r>
    </w:p>
    <w:p>
      <w:pPr>
        <w:pStyle w:val="ListBullet"/>
      </w:pPr>
      <w:r>
        <w:t>Successful DR failover drill every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