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320"/>
        <w:jc w:val="center"/>
      </w:pPr>
      <w:r>
        <w:rPr>
          <w:rFonts w:ascii="Times New Roman" w:hAnsi="Times New Roman"/>
          <w:b/>
          <w:i w:val="0"/>
          <w:color w:val="000000"/>
          <w:sz w:val="38"/>
        </w:rPr>
        <w:t>MailSense: Actionable Email Detection Using NLP</w:t>
      </w:r>
    </w:p>
    <w:p>
      <w:pPr>
        <w:spacing w:after="72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Academic Project Report</w:t>
      </w:r>
    </w:p>
    <w:p>
      <w:pPr>
        <w:spacing w:after="10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Md Ariful Alam Mahim (Roll: 2107023)</w:t>
      </w:r>
    </w:p>
    <w:p>
      <w:pPr>
        <w:spacing w:after="64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Md Jubair Husain (Roll: 2107029)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September 2026</w:t>
      </w:r>
    </w:p>
    <w:p>
      <w:pPr>
        <w:sectPr>
          <w:footerReference w:type="default" r:id="rId9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000000"/>
          <w:sz w:val="28"/>
        </w:rPr>
        <w:t>1. Introduction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MailSense is a binary NLP classifier that identifies whether an email-text snippet is Actionable (Yes) or Non-Actionable (No). The project compares a TF-IDF plus Logistic Regression baseline, a BiLSTM initialized with pretrained Word2Vec embeddings, and fine-tuned bert-base-uncased. Because the data are email sentences or snippets rather than complete subject-and-body messages, the scope is actionable email-content classification.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000000"/>
          <w:sz w:val="28"/>
        </w:rPr>
        <w:t>2. Problem Statement and Objectives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2.1 Problem Statement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Given an email-text snippet, predict Yes (Actionable) or No (Non-Actionable). The experiment evaluates the three implemented models on the same held-out test set.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2.2 Objectives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2"/>
        </w:rPr>
        <w:t>Prepare a common cleaned dataset split for all models.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2"/>
        </w:rPr>
        <w:t>Train and evaluate the three specified classification pipelines.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2"/>
        </w:rPr>
        <w:t>Compare held-out-test accuracy, precision, recall, F1-score, ROC-AUC, and confusion matrices.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000000"/>
          <w:sz w:val="28"/>
        </w:rPr>
        <w:t>3. Dataset and Preprocessing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3.1 Dataset Description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The Parakweet Labs Email Intent Dataset file Ask0729-fixed.txt contains 3,657 raw examples: 1,719 Actionable (Yes) and 1,938 Non-Actionable (No). These are source-data counts, not post-processing experimental counts.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3.2 Data Cleaning and Preparation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The implemented pipeline applies Unicode normalization and HTML decoding; replaces URLs, email addresses, and numbers with $LINK, $EMAIL, and $NUM; removes remaining HTML tags; normalizes whitespace; and removes meaningless, conflicting-label, and duplicate cleaned records. Six records were removed, leaving 3,651 examples (1,718 Yes; 1,933 No) for the experiment.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3.3 Train-Validation-Test Split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A stratified 70/15/15 split with seed 42 produced 2,555 training, 548 validation, and 548 test examples. The same split was used for every model. The held-out test set contains 258 Actionable and 290 Non-Actionable examples.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000000"/>
          <w:sz w:val="28"/>
        </w:rPr>
        <w:t>4. Methodology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4.1 TF-IDF + Logistic Regression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Text was represented with TF-IDF unigram and bigram features (min_df=2, max_df=0.9, sublinear term frequency) and classified with balanced Logistic Regression (C=1.0). The vectorizer was fitted on training data only.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4.2 Word2Vec + BiLSTM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This model is a BiLSTM initialized with pretrained Word2Vec embeddings. The embeddings were trainable during training. The implementation uses a maximum length of 64 tokens, a one-layer bidirectional LSTM with hidden dimension 128, dropout of 0.3, and a two-class output layer.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4.3 Pretrained BERT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bert-base-uncased was fine-tuned for two-class sequence classification. Inputs were tokenized and padded or truncated to 64 tokens; all BERT parameters remained trainable.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4.4 Experimental Setup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The BiLSTM configuration used batches of 32, up to 20 epochs, Adam optimization, and validation-F1 checkpoint selection. BERT used batches of 16, up to 4 epochs, AdamW with linear warmup, and validation-F1 checkpoint selection. For all models, Actionable (Yes) was the positive class and a probability threshold of 0.5 produced the final class prediction.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000000"/>
          <w:sz w:val="28"/>
        </w:rPr>
        <w:t>5. Evaluation Metrics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Accuracy, precision, recall, F1-score, and ROC-AUC were computed on the held-out test set. Precision, recall, and F1-score use Actionable (Yes) as the positive class. Confusion matrices report true labels by rows and predicted labels by columns; a false negative is actionable content predicted as non-actionable.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000000"/>
          <w:sz w:val="28"/>
        </w:rPr>
        <w:t>6. Results and Analysis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6.1 Overall Model Performance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Table 1 reports the final held-out-test results recorded in the project 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3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Model</w:t>
            </w:r>
          </w:p>
        </w:tc>
        <w:tc>
          <w:tcPr>
            <w:tcW w:type="dxa" w:w="11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Accuracy</w:t>
            </w:r>
          </w:p>
        </w:tc>
        <w:tc>
          <w:tcPr>
            <w:tcW w:type="dxa" w:w="11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Precision</w:t>
            </w:r>
          </w:p>
        </w:tc>
        <w:tc>
          <w:tcPr>
            <w:tcW w:type="dxa" w:w="11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Recall</w:t>
            </w:r>
          </w:p>
        </w:tc>
        <w:tc>
          <w:tcPr>
            <w:tcW w:type="dxa" w:w="11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F1</w:t>
            </w:r>
          </w:p>
        </w:tc>
        <w:tc>
          <w:tcPr>
            <w:tcW w:type="dxa" w:w="11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6E6E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ROC-AUC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TF-IDF + Logistic Regression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77.74%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76.98%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75.19%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76.08%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86.07%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Word2Vec + BiLSTM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74.82%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71.74%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76.74%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74.16%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86.54%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BERT (bert-base-uncased)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84.85%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82.05%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86.82%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84.37%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93.16%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Table 1. Final metrics on the common held-out test set (n=548).</w:t>
      </w:r>
    </w:p>
    <w:p>
      <w:r>
        <w:drawing>
          <wp:inline xmlns:a="http://schemas.openxmlformats.org/drawingml/2006/main" xmlns:pic="http://schemas.openxmlformats.org/drawingml/2006/picture">
            <wp:extent cx="5394960" cy="3132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2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Figure 1. Accuracy, F1, and ROC-AUC across the three models.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6.2 Confusion Matrix Analysis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The recorded confusion matrices show that BERT produced 224 true positives, 241 true negatives, 49 false positives, and 34 false negatives. TF-IDF plus Logistic Regression recorded 194, 232, 58, and 64 respectively; Word2Vec plus BiLSTM recorded 198, 212, 78, and 60 respectively.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22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tfidf_logreg_test_gray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Figure 2. TF-IDF + Logistic Regression test confusion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229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lstm_test_graysca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Figure 3. Word2Vec + BiLSTM test confusion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22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bert_test_graysca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Figure 4. BERT test confusion matrix.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6.3 Training Performance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The following plots reproduce the training and validation loss values from the recorded training-history CSV files; no values were added or estimated.</w:t>
      </w:r>
    </w:p>
    <w:p>
      <w:r>
        <w:drawing>
          <wp:inline xmlns:a="http://schemas.openxmlformats.org/drawingml/2006/main" xmlns:pic="http://schemas.openxmlformats.org/drawingml/2006/picture">
            <wp:extent cx="5394960" cy="29585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5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Figure 5. BiLSTM training and validation loss by epoch.</w:t>
      </w:r>
    </w:p>
    <w:p>
      <w:r>
        <w:drawing>
          <wp:inline xmlns:a="http://schemas.openxmlformats.org/drawingml/2006/main" xmlns:pic="http://schemas.openxmlformats.org/drawingml/2006/picture">
            <wp:extent cx="5394960" cy="29585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t_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5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Figure 6. BERT training and validation loss by epoch.</w:t>
      </w:r>
    </w:p>
    <w:p>
      <w:pPr>
        <w:pStyle w:val="Heading2"/>
        <w:keepNext/>
      </w:pPr>
      <w:r>
        <w:rPr>
          <w:rFonts w:ascii="Times New Roman" w:hAnsi="Times New Roman"/>
          <w:b/>
          <w:i w:val="0"/>
          <w:color w:val="000000"/>
          <w:sz w:val="24"/>
        </w:rPr>
        <w:t>6.4 Discussion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Among the three models in this experiment, BERT achieved the highest measured accuracy (84.85%), precision (82.05%), recall (86.82%), F1-score (84.37%), and ROC-AUC (93.16%). It also had the fewest recorded false negatives (34), whereas the TF-IDF and BiLSTM models had 64 and 60. The TF-IDF baseline achieved 77.74% accuracy and 76.08% F1. The BiLSTM recorded higher recall and ROC-AUC than the TF-IDF baseline, but lower accuracy, precision, and F1 on this test split.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000000"/>
          <w:sz w:val="28"/>
        </w:rPr>
        <w:t>7. Limitations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2"/>
        </w:rPr>
        <w:t>The results come from one stratified train/validation/test split and a single experimental run.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2"/>
        </w:rPr>
        <w:t>The dataset is limited in size and consists primarily of sentences or snippets rather than complete emails.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2"/>
        </w:rPr>
        <w:t>All final class decisions use the fixed 0.5 probability threshold.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2"/>
        </w:rPr>
        <w:t>The recorded findings apply to the evaluated dataset and implemented configurations; no additional datasets, searches, or experiments are reported.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000000"/>
          <w:sz w:val="28"/>
        </w:rPr>
        <w:t>8. Conclusion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MailSense compares three NLP pipelines for actionable email-content classification using one common cleaned split. On the held-out test set of 548 examples, fine-tuned BERT achieved the highest measured performance among the three models, with 84.85% accuracy, 84.37% F1-score, and 93.16% ROC-AUC. The results are bounded by the dataset, fixed split, and configurations documented in this project.</w:t>
      </w:r>
    </w:p>
    <w:p>
      <w:pPr>
        <w:pStyle w:val="Heading1"/>
        <w:keepNext/>
      </w:pPr>
      <w:r>
        <w:rPr>
          <w:rFonts w:ascii="Times New Roman" w:hAnsi="Times New Roman"/>
          <w:b/>
          <w:i w:val="0"/>
          <w:color w:val="000000"/>
          <w:sz w:val="28"/>
        </w:rPr>
        <w:t>References</w:t>
      </w:r>
    </w:p>
    <w:p>
      <w:pPr>
        <w:ind w:left="360" w:hanging="360"/>
      </w:pPr>
      <w:r>
        <w:rPr>
          <w:rFonts w:ascii="Times New Roman" w:hAnsi="Times New Roman"/>
          <w:b w:val="0"/>
          <w:i w:val="0"/>
          <w:color w:val="000000"/>
          <w:sz w:val="20"/>
        </w:rPr>
        <w:t>[1] Parakweet Labs, Email Intent Dataset, Ask0729-fixed.txt. Available: https://raw.githubusercontent.com/ParakweetLabs/EmailIntentDataSet/master/src/resources/Ask0729-fixed.txt.</w:t>
      </w:r>
    </w:p>
    <w:p>
      <w:pPr>
        <w:ind w:left="360" w:hanging="360"/>
      </w:pPr>
      <w:r>
        <w:rPr>
          <w:rFonts w:ascii="Times New Roman" w:hAnsi="Times New Roman"/>
          <w:b w:val="0"/>
          <w:i w:val="0"/>
          <w:color w:val="000000"/>
          <w:sz w:val="20"/>
        </w:rPr>
        <w:t>[2] MailSense project artifacts: README.md; results/data_quality_report.json; results/final_test_comparison.csv; results/*/training_history.csv; configs/*.json; and source preprocessing, training, and evaluation files.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000000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