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2"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14 real Indian airport stations (NOAA ISD, 2016-2024), a protocol committed before a holdout that is sealed in time and in space, false alarms on real cyclones reported separately from injected-fault scores, baselines and an ablation on the same data, and the failures kept on record.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eight unseen stations a small number of real extreme-weather windows did receive a</w:t>
      </w:r>
      <w:r>
        <w:t xml:space="preserve"> </w:t>
      </w:r>
      <w:r>
        <w:rPr>
          <w:rStyle w:val="VerbatimChar"/>
        </w:rPr>
        <w:t xml:space="preserve">FAULT</w:t>
      </w:r>
      <w:r>
        <w:t xml:space="preserve"> </w:t>
      </w:r>
      <w:r>
        <w:t xml:space="preserve">verdict (Section 5). Sections 5 and 6 say exactly what we cannot show.</w:t>
      </w:r>
    </w:p>
    <w:bookmarkEnd w:id="10"/>
    <w:bookmarkStart w:id="15"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14"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bookmarkEnd w:id="14"/>
    <w:bookmarkEnd w:id="15"/>
    <w:bookmarkStart w:id="22" w:name="data-and-evaluation-protocol"/>
    <w:p>
      <w:pPr>
        <w:pStyle w:val="Heading2"/>
      </w:pPr>
      <w:r>
        <w:t xml:space="preserve">2. Data and evaluation protocol</w:t>
      </w:r>
    </w:p>
    <w:bookmarkStart w:id="16"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16"/>
    <w:bookmarkStart w:id="17"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17"/>
    <w:bookmarkStart w:id="18"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18"/>
    <w:bookmarkStart w:id="19"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19"/>
    <w:bookmarkStart w:id="20"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0"/>
    <w:bookmarkStart w:id="21" w:name="Xb222ff4c068deb0ea78db4d0ab9b781b52e8a25"/>
    <w:p>
      <w:pPr>
        <w:pStyle w:val="Heading3"/>
      </w:pPr>
      <w:r>
        <w:t xml:space="preserve">2.6 Amendment: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1"/>
    <w:bookmarkEnd w:id="22"/>
    <w:bookmarkStart w:id="34"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23"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23"/>
    <w:bookmarkStart w:id="24"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24"/>
    <w:bookmarkStart w:id="25"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25"/>
    <w:bookmarkStart w:id="26"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26"/>
    <w:bookmarkStart w:id="27"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27"/>
    <w:bookmarkStart w:id="28"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28"/>
    <w:bookmarkStart w:id="29"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29"/>
    <w:bookmarkStart w:id="30"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30"/>
    <w:bookmarkStart w:id="31"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31"/>
    <w:bookmarkStart w:id="32"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32"/>
    <w:bookmarkStart w:id="33"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33"/>
    <w:bookmarkEnd w:id="34"/>
    <w:bookmarkStart w:id="70"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45"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35"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35"/>
    <w:bookmarkStart w:id="36"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36"/>
    <w:bookmarkStart w:id="37"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37"/>
    <w:bookmarkStart w:id="38"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38"/>
    <w:bookmarkStart w:id="39"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39"/>
    <w:bookmarkStart w:id="40"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40"/>
    <w:bookmarkStart w:id="41"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41"/>
    <w:bookmarkStart w:id="42"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42"/>
    <w:bookmarkStart w:id="43"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43"/>
    <w:bookmarkStart w:id="44"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44"/>
    <w:bookmarkEnd w:id="45"/>
    <w:bookmarkStart w:id="56"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46"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46"/>
    <w:bookmarkStart w:id="47"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47"/>
    <w:bookmarkStart w:id="48"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48"/>
    <w:bookmarkStart w:id="49"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49"/>
    <w:bookmarkStart w:id="50"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50"/>
    <w:bookmarkStart w:id="51"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51"/>
    <w:bookmarkStart w:id="52"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52"/>
    <w:bookmarkStart w:id="53"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53"/>
    <w:bookmarkStart w:id="54"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54"/>
    <w:bookmarkStart w:id="55"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55"/>
    <w:bookmarkEnd w:id="56"/>
    <w:bookmarkStart w:id="67"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57"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57"/>
    <w:bookmarkStart w:id="58"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58"/>
    <w:bookmarkStart w:id="59"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59"/>
    <w:bookmarkStart w:id="60"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60"/>
    <w:bookmarkStart w:id="61"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61"/>
    <w:bookmarkStart w:id="62"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62"/>
    <w:bookmarkStart w:id="63"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63"/>
    <w:bookmarkStart w:id="64"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64"/>
    <w:bookmarkStart w:id="65"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65"/>
    <w:bookmarkStart w:id="66"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66"/>
    <w:bookmarkEnd w:id="67"/>
    <w:bookmarkStart w:id="68" w:name="scale-and-speed"/>
    <w:p>
      <w:pPr>
        <w:pStyle w:val="Heading3"/>
      </w:pPr>
      <w:r>
        <w:t xml:space="preserve">4.4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130.9</w:t>
            </w:r>
          </w:p>
        </w:tc>
        <w:tc>
          <w:tcPr/>
          <w:p>
            <w:pPr>
              <w:pStyle w:val="Compact"/>
            </w:pPr>
            <w:r>
              <w:t xml:space="preserve">7.383</w:t>
            </w:r>
          </w:p>
        </w:tc>
        <w:tc>
          <w:tcPr/>
          <w:p>
            <w:pPr>
              <w:pStyle w:val="Compact"/>
            </w:pPr>
            <w:r>
              <w:t xml:space="preserve">9.891</w:t>
            </w:r>
          </w:p>
        </w:tc>
        <w:tc>
          <w:tcPr/>
          <w:p>
            <w:pPr>
              <w:pStyle w:val="Compact"/>
            </w:pPr>
            <w:r>
              <w:t xml:space="preserve">11.591</w:t>
            </w:r>
          </w:p>
        </w:tc>
        <w:tc>
          <w:tcPr/>
          <w:p>
            <w:pPr>
              <w:pStyle w:val="Compact"/>
            </w:pPr>
            <w:r>
              <w:t xml:space="preserve">5.99</w:t>
            </w:r>
          </w:p>
        </w:tc>
        <w:tc>
          <w:tcPr/>
          <w:p>
            <w:pPr>
              <w:pStyle w:val="Compact"/>
            </w:pPr>
            <w:r>
              <w:t xml:space="preserve">1584.4</w:t>
            </w:r>
          </w:p>
        </w:tc>
      </w:tr>
      <w:tr>
        <w:tc>
          <w:tcPr/>
          <w:p>
            <w:pPr>
              <w:pStyle w:val="Compact"/>
            </w:pPr>
            <w:r>
              <w:t xml:space="preserve">10</w:t>
            </w:r>
          </w:p>
        </w:tc>
        <w:tc>
          <w:tcPr/>
          <w:p>
            <w:pPr>
              <w:pStyle w:val="Compact"/>
            </w:pPr>
            <w:r>
              <w:t xml:space="preserve">124.8</w:t>
            </w:r>
          </w:p>
        </w:tc>
        <w:tc>
          <w:tcPr/>
          <w:p>
            <w:pPr>
              <w:pStyle w:val="Compact"/>
            </w:pPr>
            <w:r>
              <w:t xml:space="preserve">7.626</w:t>
            </w:r>
          </w:p>
        </w:tc>
        <w:tc>
          <w:tcPr/>
          <w:p>
            <w:pPr>
              <w:pStyle w:val="Compact"/>
            </w:pPr>
            <w:r>
              <w:t xml:space="preserve">10.956</w:t>
            </w:r>
          </w:p>
        </w:tc>
        <w:tc>
          <w:tcPr/>
          <w:p>
            <w:pPr>
              <w:pStyle w:val="Compact"/>
            </w:pPr>
            <w:r>
              <w:t xml:space="preserve">13.092</w:t>
            </w:r>
          </w:p>
        </w:tc>
        <w:tc>
          <w:tcPr/>
          <w:p>
            <w:pPr>
              <w:pStyle w:val="Compact"/>
            </w:pPr>
            <w:r>
              <w:t xml:space="preserve">2.07</w:t>
            </w:r>
          </w:p>
        </w:tc>
        <w:tc>
          <w:tcPr/>
          <w:p>
            <w:pPr>
              <w:pStyle w:val="Compact"/>
            </w:pPr>
            <w:r>
              <w:t xml:space="preserve">1584.4</w:t>
            </w:r>
          </w:p>
        </w:tc>
      </w:tr>
      <w:tr>
        <w:tc>
          <w:tcPr/>
          <w:p>
            <w:pPr>
              <w:pStyle w:val="Compact"/>
            </w:pPr>
            <w:r>
              <w:t xml:space="preserve">50</w:t>
            </w:r>
          </w:p>
        </w:tc>
        <w:tc>
          <w:tcPr/>
          <w:p>
            <w:pPr>
              <w:pStyle w:val="Compact"/>
            </w:pPr>
            <w:r>
              <w:t xml:space="preserve">124.8</w:t>
            </w:r>
          </w:p>
        </w:tc>
        <w:tc>
          <w:tcPr/>
          <w:p>
            <w:pPr>
              <w:pStyle w:val="Compact"/>
            </w:pPr>
            <w:r>
              <w:t xml:space="preserve">7.638</w:t>
            </w:r>
          </w:p>
        </w:tc>
        <w:tc>
          <w:tcPr/>
          <w:p>
            <w:pPr>
              <w:pStyle w:val="Compact"/>
            </w:pPr>
            <w:r>
              <w:t xml:space="preserve">10.952</w:t>
            </w:r>
          </w:p>
        </w:tc>
        <w:tc>
          <w:tcPr/>
          <w:p>
            <w:pPr>
              <w:pStyle w:val="Compact"/>
            </w:pPr>
            <w:r>
              <w:t xml:space="preserve">13.594</w:t>
            </w:r>
          </w:p>
        </w:tc>
        <w:tc>
          <w:tcPr/>
          <w:p>
            <w:pPr>
              <w:pStyle w:val="Compact"/>
            </w:pPr>
            <w:r>
              <w:t xml:space="preserve">1.9</w:t>
            </w:r>
          </w:p>
        </w:tc>
        <w:tc>
          <w:tcPr/>
          <w:p>
            <w:pPr>
              <w:pStyle w:val="Compact"/>
            </w:pPr>
            <w:r>
              <w:t xml:space="preserve">1584.4</w:t>
            </w:r>
          </w:p>
        </w:tc>
      </w:tr>
      <w:tr>
        <w:tc>
          <w:tcPr/>
          <w:p>
            <w:pPr>
              <w:pStyle w:val="Compact"/>
            </w:pPr>
            <w:r>
              <w:t xml:space="preserve">100</w:t>
            </w:r>
          </w:p>
        </w:tc>
        <w:tc>
          <w:tcPr/>
          <w:p>
            <w:pPr>
              <w:pStyle w:val="Compact"/>
            </w:pPr>
            <w:r>
              <w:t xml:space="preserve">123.9</w:t>
            </w:r>
          </w:p>
        </w:tc>
        <w:tc>
          <w:tcPr/>
          <w:p>
            <w:pPr>
              <w:pStyle w:val="Compact"/>
            </w:pPr>
            <w:r>
              <w:t xml:space="preserve">7.682</w:t>
            </w:r>
          </w:p>
        </w:tc>
        <w:tc>
          <w:tcPr/>
          <w:p>
            <w:pPr>
              <w:pStyle w:val="Compact"/>
            </w:pPr>
            <w:r>
              <w:t xml:space="preserve">10.978</w:t>
            </w:r>
          </w:p>
        </w:tc>
        <w:tc>
          <w:tcPr/>
          <w:p>
            <w:pPr>
              <w:pStyle w:val="Compact"/>
            </w:pPr>
            <w:r>
              <w:t xml:space="preserve">13.824</w:t>
            </w:r>
          </w:p>
        </w:tc>
        <w:tc>
          <w:tcPr/>
          <w:p>
            <w:pPr>
              <w:pStyle w:val="Compact"/>
            </w:pPr>
            <w:r>
              <w:t xml:space="preserve">1.26</w:t>
            </w:r>
          </w:p>
        </w:tc>
        <w:tc>
          <w:tcPr/>
          <w:p>
            <w:pPr>
              <w:pStyle w:val="Compact"/>
            </w:pPr>
            <w:r>
              <w:t xml:space="preserve">1584.4</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1395.4</w:t>
            </w:r>
          </w:p>
        </w:tc>
        <w:tc>
          <w:tcPr/>
          <w:p>
            <w:pPr>
              <w:pStyle w:val="Compact"/>
            </w:pPr>
            <w:r>
              <w:t xml:space="preserve">0.521</w:t>
            </w:r>
          </w:p>
        </w:tc>
        <w:tc>
          <w:tcPr/>
          <w:p>
            <w:pPr>
              <w:pStyle w:val="Compact"/>
            </w:pPr>
            <w:r>
              <w:t xml:space="preserve">1.948</w:t>
            </w:r>
          </w:p>
        </w:tc>
        <w:tc>
          <w:tcPr/>
          <w:p>
            <w:pPr>
              <w:pStyle w:val="Compact"/>
            </w:pPr>
            <w:r>
              <w:t xml:space="preserve">3.678</w:t>
            </w:r>
          </w:p>
        </w:tc>
      </w:tr>
      <w:tr>
        <w:tc>
          <w:tcPr/>
          <w:p>
            <w:pPr>
              <w:pStyle w:val="Compact"/>
            </w:pPr>
            <w:r>
              <w:t xml:space="preserve">50</w:t>
            </w:r>
          </w:p>
        </w:tc>
        <w:tc>
          <w:tcPr/>
          <w:p>
            <w:pPr>
              <w:pStyle w:val="Compact"/>
            </w:pPr>
            <w:r>
              <w:t xml:space="preserve">1430.1</w:t>
            </w:r>
          </w:p>
        </w:tc>
        <w:tc>
          <w:tcPr/>
          <w:p>
            <w:pPr>
              <w:pStyle w:val="Compact"/>
            </w:pPr>
            <w:r>
              <w:t xml:space="preserve">0.526</w:t>
            </w:r>
          </w:p>
        </w:tc>
        <w:tc>
          <w:tcPr/>
          <w:p>
            <w:pPr>
              <w:pStyle w:val="Compact"/>
            </w:pPr>
            <w:r>
              <w:t xml:space="preserve">1.947</w:t>
            </w:r>
          </w:p>
        </w:tc>
        <w:tc>
          <w:tcPr/>
          <w:p>
            <w:pPr>
              <w:pStyle w:val="Compact"/>
            </w:pPr>
            <w:r>
              <w:t xml:space="preserve">2.346</w:t>
            </w:r>
          </w:p>
        </w:tc>
      </w:tr>
    </w:tbl>
    <w:p>
      <w:pPr>
        <w:pStyle w:val="BodyText"/>
      </w:pPr>
      <w:r>
        <w:t xml:space="preserve">Real HTTP server (FastAPI + SQLite), 50 stations, 8 concurrent clients: 58.5 requests/s, median 133.12 ms, p95 164.74 ms, p99 189.15 ms, errors 0.</w:t>
      </w:r>
    </w:p>
    <w:bookmarkEnd w:id="68"/>
    <w:bookmarkStart w:id="69" w:name="a-new-station-on-day-one-cold-start"/>
    <w:p>
      <w:pPr>
        <w:pStyle w:val="Heading3"/>
      </w:pPr>
      <w:r>
        <w:t xml:space="preserve">4.5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69"/>
    <w:bookmarkEnd w:id="70"/>
    <w:bookmarkStart w:id="74"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71"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71"/>
    <w:bookmarkStart w:id="72" w:name="Xe40d6a0b54f3756887c834b5aaba6f2374833dc"/>
    <w:p>
      <w:pPr>
        <w:pStyle w:val="Heading3"/>
      </w:pPr>
      <w:r>
        <w:t xml:space="preserve">Proposed remedies (not applied, not evaluated)</w:t>
      </w:r>
    </w:p>
    <w:p>
      <w:pPr>
        <w:pStyle w:val="Compact"/>
        <w:numPr>
          <w:ilvl w:val="0"/>
          <w:numId w:val="1010"/>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0"/>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72"/>
    <w:bookmarkStart w:id="73"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73"/>
    <w:bookmarkEnd w:id="74"/>
    <w:bookmarkStart w:id="80" w:name="X0c6babe05ada4703930d11639828e5b6cecbbdf"/>
    <w:p>
      <w:pPr>
        <w:pStyle w:val="Heading2"/>
      </w:pPr>
      <w:r>
        <w:t xml:space="preserve">6. Limitations: what we do not claim and cannot see</w:t>
      </w:r>
    </w:p>
    <w:bookmarkStart w:id="75" w:name="about-the-data"/>
    <w:p>
      <w:pPr>
        <w:pStyle w:val="Heading3"/>
      </w:pPr>
      <w:r>
        <w:t xml:space="preserve">About the data</w:t>
      </w:r>
    </w:p>
    <w:p>
      <w:pPr>
        <w:pStyle w:val="Compact"/>
        <w:numPr>
          <w:ilvl w:val="0"/>
          <w:numId w:val="1011"/>
        </w:numPr>
      </w:pPr>
      <w:r>
        <w:rPr>
          <w:b/>
          <w:bCs/>
        </w:rPr>
        <w:t xml:space="preserve">The data are airport records, not IMD AWS records.</w:t>
      </w:r>
      <w:r>
        <w:t xml:space="preserve"> </w:t>
      </w:r>
      <w:r>
        <w:t xml:space="preserve">IMD AWS data are not public. We use NOAA’s Integrated Surface</w:t>
      </w:r>
      <w:r>
        <w:t xml:space="preserve"> </w:t>
      </w:r>
      <w:r>
        <w:t xml:space="preserve">Database (METAR and SYNOP) for 14 Indian airport stations, 2016-2024. The instruments and siting differ from an AWS.</w:t>
      </w:r>
    </w:p>
    <w:p>
      <w:pPr>
        <w:pStyle w:val="Compact"/>
        <w:numPr>
          <w:ilvl w:val="0"/>
          <w:numId w:val="1011"/>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1"/>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1"/>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1"/>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75"/>
    <w:bookmarkStart w:id="76" w:name="about-the-results"/>
    <w:p>
      <w:pPr>
        <w:pStyle w:val="Heading3"/>
      </w:pPr>
      <w:r>
        <w:t xml:space="preserve">About the results</w:t>
      </w:r>
    </w:p>
    <w:p>
      <w:pPr>
        <w:pStyle w:val="Compact"/>
        <w:numPr>
          <w:ilvl w:val="0"/>
          <w:numId w:val="1012"/>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2"/>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2"/>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2"/>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this one.</w:t>
      </w:r>
    </w:p>
    <w:p>
      <w:pPr>
        <w:pStyle w:val="Compact"/>
        <w:numPr>
          <w:ilvl w:val="0"/>
          <w:numId w:val="1012"/>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2"/>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w:t>
      </w:r>
    </w:p>
    <w:bookmarkEnd w:id="76"/>
    <w:bookmarkStart w:id="77" w:name="about-novelty"/>
    <w:p>
      <w:pPr>
        <w:pStyle w:val="Heading3"/>
      </w:pPr>
      <w:r>
        <w:t xml:space="preserve">About novelty</w:t>
      </w:r>
    </w:p>
    <w:p>
      <w:pPr>
        <w:pStyle w:val="Compact"/>
        <w:numPr>
          <w:ilvl w:val="0"/>
          <w:numId w:val="1013"/>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3"/>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3"/>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3"/>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77"/>
    <w:bookmarkStart w:id="78" w:name="about-the-hardware-and-deployment"/>
    <w:p>
      <w:pPr>
        <w:pStyle w:val="Heading3"/>
      </w:pPr>
      <w:r>
        <w:t xml:space="preserve">About the hardware and deployment</w:t>
      </w:r>
    </w:p>
    <w:p>
      <w:pPr>
        <w:pStyle w:val="Compact"/>
        <w:numPr>
          <w:ilvl w:val="0"/>
          <w:numId w:val="1014"/>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is type-checked</w:t>
      </w:r>
      <w:r>
        <w:t xml:space="preserve"> </w:t>
      </w:r>
      <w:r>
        <w:t xml:space="preserve">against stand-ins for the Arduino libraries. That catches logic and type errors, not toolchain or timing problems.</w:t>
      </w:r>
    </w:p>
    <w:p>
      <w:pPr>
        <w:pStyle w:val="Compact"/>
        <w:numPr>
          <w:ilvl w:val="0"/>
          <w:numId w:val="1014"/>
        </w:numPr>
      </w:pPr>
      <w:r>
        <w:rPr>
          <w:b/>
          <w:bCs/>
        </w:rPr>
        <w:t xml:space="preserve">The Docker files have not been built here</w:t>
      </w:r>
      <w:r>
        <w:t xml:space="preserve"> </w:t>
      </w:r>
      <w:r>
        <w:t xml:space="preserve">(no Docker on the machine that produced this repository). They are checked</w:t>
      </w:r>
      <w:r>
        <w:t xml:space="preserve"> </w:t>
      </w:r>
      <w:r>
        <w:t xml:space="preserve">statically. Run</w:t>
      </w:r>
      <w:r>
        <w:t xml:space="preserve"> </w:t>
      </w:r>
      <w:r>
        <w:rPr>
          <w:rStyle w:val="VerbatimChar"/>
        </w:rPr>
        <w:t xml:space="preserve">docker compose up --build</w:t>
      </w:r>
      <w:r>
        <w:t xml:space="preserve"> </w:t>
      </w:r>
      <w:r>
        <w:t xml:space="preserve">once before the demo.</w:t>
      </w:r>
    </w:p>
    <w:p>
      <w:pPr>
        <w:pStyle w:val="Compact"/>
        <w:numPr>
          <w:ilvl w:val="0"/>
          <w:numId w:val="1014"/>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4"/>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78"/>
    <w:bookmarkStart w:id="79" w:name="what-the-system-cannot-see"/>
    <w:p>
      <w:pPr>
        <w:pStyle w:val="Heading3"/>
      </w:pPr>
      <w:r>
        <w:t xml:space="preserve">What the system cannot see</w:t>
      </w:r>
    </w:p>
    <w:p>
      <w:pPr>
        <w:pStyle w:val="Compact"/>
        <w:numPr>
          <w:ilvl w:val="0"/>
          <w:numId w:val="1015"/>
        </w:numPr>
      </w:pPr>
      <w:r>
        <w:rPr>
          <w:b/>
          <w:bCs/>
        </w:rPr>
        <w:t xml:space="preserve">A constant offset present from the start.</w:t>
      </w:r>
      <w:r>
        <w:t xml:space="preserve"> </w:t>
      </w:r>
      <w:r>
        <w:t xml:space="preserve">No single-station method can see it.</w:t>
      </w:r>
    </w:p>
    <w:p>
      <w:pPr>
        <w:pStyle w:val="Compact"/>
        <w:numPr>
          <w:ilvl w:val="0"/>
          <w:numId w:val="1015"/>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5"/>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5"/>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5"/>
        </w:numPr>
      </w:pPr>
      <w:r>
        <w:rPr>
          <w:b/>
          <w:bCs/>
        </w:rPr>
        <w:t xml:space="preserve">Small noise increases.</w:t>
      </w:r>
      <w:r>
        <w:t xml:space="preserve"> </w:t>
      </w:r>
      <w:r>
        <w:t xml:space="preserve">At whole-degree resolution they are inside the rounding.</w:t>
      </w:r>
    </w:p>
    <w:p>
      <w:pPr>
        <w:pStyle w:val="Compact"/>
        <w:numPr>
          <w:ilvl w:val="0"/>
          <w:numId w:val="1015"/>
        </w:numPr>
      </w:pPr>
      <w:r>
        <w:rPr>
          <w:b/>
          <w:bCs/>
        </w:rPr>
        <w:t xml:space="preserve">Faults hidden inside data gaps.</w:t>
      </w:r>
      <w:r>
        <w:t xml:space="preserve"> </w:t>
      </w:r>
      <w:r>
        <w:t xml:space="preserve">The gap is reported; what happened inside it is not known.</w:t>
      </w:r>
    </w:p>
    <w:p>
      <w:pPr>
        <w:pStyle w:val="Compact"/>
        <w:numPr>
          <w:ilvl w:val="0"/>
          <w:numId w:val="1015"/>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5"/>
        </w:numPr>
      </w:pPr>
      <w:r>
        <w:rPr>
          <w:b/>
          <w:bCs/>
        </w:rPr>
        <w:t xml:space="preserve">Anything that needs a reference:</w:t>
      </w:r>
      <w:r>
        <w:t xml:space="preserve"> </w:t>
      </w:r>
      <w:r>
        <w:t xml:space="preserve">neighbour stations, a forecast model, a calibration record. By design we use none.</w:t>
      </w:r>
    </w:p>
    <w:bookmarkEnd w:id="79"/>
    <w:bookmarkEnd w:id="80"/>
    <w:bookmarkStart w:id="86" w:name="related-work-and-what-is-ours"/>
    <w:p>
      <w:pPr>
        <w:pStyle w:val="Heading2"/>
      </w:pPr>
      <w:r>
        <w:t xml:space="preserve">7. Related work and what is ours</w:t>
      </w:r>
    </w:p>
    <w:bookmarkStart w:id="81"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81"/>
    <w:bookmarkStart w:id="82"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82"/>
    <w:bookmarkStart w:id="83" w:name="what-is-ours"/>
    <w:p>
      <w:pPr>
        <w:pStyle w:val="Heading3"/>
      </w:pPr>
      <w:r>
        <w:t xml:space="preserve">7.3 What is ours</w:t>
      </w:r>
    </w:p>
    <w:p>
      <w:pPr>
        <w:pStyle w:val="Compact"/>
        <w:numPr>
          <w:ilvl w:val="0"/>
          <w:numId w:val="1016"/>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14 real Indian</w:t>
      </w:r>
      <w:r>
        <w:rPr>
          <w:b/>
          <w:bCs/>
        </w:rPr>
        <w:t xml:space="preserve"> </w:t>
      </w:r>
      <w:r>
        <w:rPr>
          <w:b/>
          <w:bCs/>
        </w:rPr>
        <w:t xml:space="preserve">airport stations (2016-2024, NOAA ISD)</w:t>
      </w:r>
      <w:r>
        <w:t xml:space="preserve">, with:</w:t>
      </w:r>
    </w:p>
    <w:p>
      <w:pPr>
        <w:pStyle w:val="Compact"/>
        <w:numPr>
          <w:ilvl w:val="1"/>
          <w:numId w:val="1017"/>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17"/>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17"/>
        </w:numPr>
      </w:pPr>
      <w:r>
        <w:t xml:space="preserve">extreme-weather windows picked by objective rules on the data, not by what the system says about them;</w:t>
      </w:r>
    </w:p>
    <w:p>
      <w:pPr>
        <w:pStyle w:val="Compact"/>
        <w:numPr>
          <w:ilvl w:val="1"/>
          <w:numId w:val="1017"/>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17"/>
        </w:numPr>
      </w:pPr>
      <w:r>
        <w:t xml:space="preserve">baselines and an ablation run on the same real data;</w:t>
      </w:r>
    </w:p>
    <w:p>
      <w:pPr>
        <w:pStyle w:val="Compact"/>
        <w:numPr>
          <w:ilvl w:val="1"/>
          <w:numId w:val="1017"/>
        </w:numPr>
      </w:pPr>
      <w:r>
        <w:t xml:space="preserve">agreement with NOAA’s own quality flags, described as agreement with another automated system;</w:t>
      </w:r>
    </w:p>
    <w:p>
      <w:pPr>
        <w:pStyle w:val="Compact"/>
        <w:numPr>
          <w:ilvl w:val="1"/>
          <w:numId w:val="1017"/>
        </w:numPr>
      </w:pPr>
      <w:r>
        <w:t xml:space="preserve">the failures found and fixed, listed (Section 7.5).</w:t>
      </w:r>
    </w:p>
    <w:p>
      <w:pPr>
        <w:pStyle w:val="Compact"/>
        <w:numPr>
          <w:ilvl w:val="0"/>
          <w:numId w:val="1016"/>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6"/>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6"/>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6"/>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6"/>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83"/>
    <w:bookmarkStart w:id="84" w:name="the-field-on-this-problem-statement"/>
    <w:p>
      <w:pPr>
        <w:pStyle w:val="Heading3"/>
      </w:pPr>
      <w:r>
        <w:t xml:space="preserve">7.4 The field on this problem statement</w:t>
      </w:r>
    </w:p>
    <w:p>
      <w:pPr>
        <w:pStyle w:val="FirstParagraph"/>
      </w:pPr>
      <w:r>
        <w:t xml:space="preserve">Read from the public repositories (their READMEs, not 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84"/>
    <w:bookmarkStart w:id="85"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85"/>
    <w:bookmarkEnd w:id="86"/>
    <w:bookmarkStart w:id="90"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87"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340+ tests, including the C++ edge-parity tests (needs g++)</w:t>
      </w:r>
    </w:p>
    <w:bookmarkEnd w:id="87"/>
    <w:bookmarkStart w:id="88"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--scale results/scale.json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w:t>
            </w:r>
            <w:r>
              <w:t xml:space="preserve"> </w:t>
            </w:r>
            <w:r>
              <w:t xml:space="preserve">(on a quiet machine)</w:t>
            </w:r>
          </w:p>
        </w:tc>
        <w:tc>
          <w:tcPr/>
          <w:p>
            <w:pPr>
              <w:pStyle w:val="Compact"/>
            </w:pPr>
            <w:r>
              <w:t xml:space="preserve">5 min</w:t>
            </w:r>
          </w:p>
        </w:tc>
        <w:tc>
          <w:tcPr/>
          <w:p>
            <w:pPr>
              <w:pStyle w:val="Compact"/>
            </w:pPr>
            <w:r>
              <w:rPr>
                <w:rStyle w:val="VerbatimChar"/>
              </w:rPr>
              <w:t xml:space="preserve">results/scale.json</w:t>
            </w:r>
          </w:p>
        </w:tc>
      </w:tr>
      <w:tr>
        <w:tc>
          <w:tcPr/>
          <w:p>
            <w:pPr>
              <w:pStyle w:val="Compact"/>
            </w:pPr>
            <w:r>
              <w:t xml:space="preserve">Cold start for a new station</w:t>
            </w:r>
          </w:p>
        </w:tc>
        <w:tc>
          <w:tcPr/>
          <w:p>
            <w:pPr>
              <w:pStyle w:val="Compact"/>
            </w:pPr>
            <w:r>
              <w:rPr>
                <w:rStyle w:val="VerbatimChar"/>
              </w:rPr>
              <w:t xml:space="preserve">python evaluate_coldstart.py --workers 4</w:t>
            </w:r>
          </w:p>
        </w:tc>
        <w:tc>
          <w:tcPr/>
          <w:p>
            <w:pPr>
              <w:pStyle w:val="Compact"/>
            </w:pPr>
            <w:r>
              <w:t xml:space="preserve">10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88"/>
    <w:bookmarkStart w:id="89"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89"/>
    <w:bookmarkEnd w:id="90"/>
    <w:bookmarkStart w:id="91" w:name="references"/>
    <w:p>
      <w:pPr>
        <w:pStyle w:val="Heading2"/>
      </w:pPr>
      <w:r>
        <w:t xml:space="preserve">References</w:t>
      </w:r>
    </w:p>
    <w:p>
      <w:pPr>
        <w:pStyle w:val="Compact"/>
        <w:numPr>
          <w:ilvl w:val="0"/>
          <w:numId w:val="1018"/>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18"/>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18"/>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18"/>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18"/>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18"/>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18"/>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18"/>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18"/>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18"/>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18"/>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18"/>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18"/>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18"/>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18"/>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18"/>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2026-09-29T03:11:49Z</dcterms:created>
  <dcterms:modified xsi:type="dcterms:W3CDTF">2026-09-29T03:11:49Z</dcterms:modified>
</cp:coreProperties>
</file>

<file path=docProps/custom.xml><?xml version="1.0" encoding="utf-8"?>
<Properties xmlns="http://schemas.openxmlformats.org/officeDocument/2006/custom-properties" xmlns:vt="http://schemas.openxmlformats.org/officeDocument/2006/docPropsVTypes"/>
</file>