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pplementary-information"/>
    <w:p>
      <w:pPr>
        <w:pStyle w:val="Heading1"/>
      </w:pPr>
      <w:r>
        <w:t xml:space="preserve">Supplementary Information</w:t>
      </w:r>
    </w:p>
    <w:bookmarkStart w:id="9" w:name="s1-split-sizes"/>
    <w:p>
      <w:pPr>
        <w:pStyle w:val="Heading2"/>
      </w:pPr>
      <w:r>
        <w:t xml:space="preserve">S1 Split sizes</w:t>
      </w:r>
    </w:p>
    <w:p>
      <w:pPr>
        <w:pStyle w:val="FirstParagraph"/>
      </w:pPr>
      <w:r>
        <w:t xml:space="preserve">One fixed split per level; the rows below are the data rows of the split files, whose SHA-256 hashes</w:t>
      </w:r>
      <w:r>
        <w:t xml:space="preserve"> </w:t>
      </w:r>
      <w:r>
        <w:t xml:space="preserve">are recorded in</w:t>
      </w:r>
      <w:r>
        <w:t xml:space="preserve"> </w:t>
      </w:r>
      <w:r>
        <w:rPr>
          <w:rStyle w:val="VerbatimChar"/>
        </w:rPr>
        <w:t xml:space="preserve">data/splits/MANIFEST.json</w:t>
      </w:r>
      <w:r>
        <w:t xml:space="preserve">. Only the random and cold-drug levels of KIBA were trained.</w:t>
      </w:r>
    </w:p>
    <w:p>
      <w:pPr>
        <w:pStyle w:val="BodyText"/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Rows per split (train / validation / test).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21,039</w:t>
            </w:r>
          </w:p>
        </w:tc>
        <w:tc>
          <w:tcPr/>
          <w:p>
            <w:pPr>
              <w:pStyle w:val="Compact"/>
            </w:pPr>
            <w:r>
              <w:t xml:space="preserve">3,006</w:t>
            </w:r>
          </w:p>
        </w:tc>
        <w:tc>
          <w:tcPr/>
          <w:p>
            <w:pPr>
              <w:pStyle w:val="Compact"/>
            </w:pPr>
            <w:r>
              <w:t xml:space="preserve">6,011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21,658</w:t>
            </w:r>
          </w:p>
        </w:tc>
        <w:tc>
          <w:tcPr/>
          <w:p>
            <w:pPr>
              <w:pStyle w:val="Compact"/>
            </w:pPr>
            <w:r>
              <w:t xml:space="preserve">2,652</w:t>
            </w:r>
          </w:p>
        </w:tc>
        <w:tc>
          <w:tcPr/>
          <w:p>
            <w:pPr>
              <w:pStyle w:val="Compact"/>
            </w:pPr>
            <w:r>
              <w:t xml:space="preserve">5,746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21,080</w:t>
            </w:r>
          </w:p>
        </w:tc>
        <w:tc>
          <w:tcPr/>
          <w:p>
            <w:pPr>
              <w:pStyle w:val="Compact"/>
            </w:pPr>
            <w:r>
              <w:t xml:space="preserve">2,992</w:t>
            </w:r>
          </w:p>
        </w:tc>
        <w:tc>
          <w:tcPr/>
          <w:p>
            <w:pPr>
              <w:pStyle w:val="Compact"/>
            </w:pPr>
            <w:r>
              <w:t xml:space="preserve">5,984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15,190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1,144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82,778</w:t>
            </w:r>
          </w:p>
        </w:tc>
        <w:tc>
          <w:tcPr/>
          <w:p>
            <w:pPr>
              <w:pStyle w:val="Compact"/>
            </w:pPr>
            <w:r>
              <w:t xml:space="preserve">11,825</w:t>
            </w:r>
          </w:p>
        </w:tc>
        <w:tc>
          <w:tcPr/>
          <w:p>
            <w:pPr>
              <w:pStyle w:val="Compact"/>
            </w:pPr>
            <w:r>
              <w:t xml:space="preserve">23,651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83,807</w:t>
            </w:r>
          </w:p>
        </w:tc>
        <w:tc>
          <w:tcPr/>
          <w:p>
            <w:pPr>
              <w:pStyle w:val="Compact"/>
            </w:pPr>
            <w:r>
              <w:t xml:space="preserve">12,073</w:t>
            </w:r>
          </w:p>
        </w:tc>
        <w:tc>
          <w:tcPr/>
          <w:p>
            <w:pPr>
              <w:pStyle w:val="Compact"/>
            </w:pPr>
            <w:r>
              <w:t xml:space="preserve">22,374</w:t>
            </w:r>
          </w:p>
        </w:tc>
      </w:tr>
    </w:tbl>
    <w:p>
      <w:pPr>
        <w:pStyle w:val="BodyText"/>
      </w:pPr>
      <w:r>
        <w:t xml:space="preserve">Cold-pair discards every pair with exactly one unseen entity, so it trains on fewer rows than the</w:t>
      </w:r>
      <w:r>
        <w:t xml:space="preserve"> </w:t>
      </w:r>
      <w:r>
        <w:t xml:space="preserve">random level (15,190 against 21,039 on DAVIS). A volume-matched control for this exists for XAttn-Ref</w:t>
      </w:r>
      <w:r>
        <w:t xml:space="preserve"> </w:t>
      </w:r>
      <w:r>
        <w:t xml:space="preserve">but is not used in this manuscript.</w:t>
      </w:r>
    </w:p>
    <w:bookmarkEnd w:id="9"/>
    <w:bookmarkStart w:id="10" w:name="s2-training-recipes"/>
    <w:p>
      <w:pPr>
        <w:pStyle w:val="Heading2"/>
      </w:pPr>
      <w:r>
        <w:t xml:space="preserve">S2 Training recipes</w:t>
      </w:r>
    </w:p>
    <w:p>
      <w:pPr>
        <w:pStyle w:val="FirstParagraph"/>
      </w:pPr>
      <w:r>
        <w:t xml:space="preserve">Each published model is trained from its vendored repository (</w:t>
      </w:r>
      <w:r>
        <w:rPr>
          <w:rStyle w:val="VerbatimChar"/>
        </w:rPr>
        <w:t xml:space="preserve">baselines/</w:t>
      </w:r>
      <w:r>
        <w:t xml:space="preserve">) with its authors’</w:t>
      </w:r>
      <w:r>
        <w:t xml:space="preserve"> </w:t>
      </w:r>
      <w:r>
        <w:t xml:space="preserve">optimiser, learning rate, batch size and tokeniser; only data loading is replaced. The commands are</w:t>
      </w:r>
      <w:r>
        <w:t xml:space="preserve"> </w:t>
      </w:r>
      <w:r>
        <w:t xml:space="preserve">built by</w:t>
      </w:r>
      <w:r>
        <w:t xml:space="preserve"> </w:t>
      </w:r>
      <w:r>
        <w:rPr>
          <w:rStyle w:val="VerbatimChar"/>
        </w:rPr>
        <w:t xml:space="preserve">src/cloud/recipes.py</w:t>
      </w:r>
      <w:r>
        <w:t xml:space="preserve">, which reproduces the flags of the notebooks that trained the cells.</w:t>
      </w:r>
    </w:p>
    <w:p>
      <w:pPr>
        <w:pStyle w:val="BodyText"/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Optimiser, learning rate and batch size per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DeepDTA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PyTorch port; patience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AdamW, cyclic learning rate</w:t>
            </w:r>
          </w:p>
        </w:tc>
        <w:tc>
          <w:tcPr/>
          <w:p>
            <w:pPr>
              <w:pStyle w:val="Compact"/>
            </w:pPr>
            <w:r>
              <w:t xml:space="preserve">0.00005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weight decay 0.0001 on weights, none on biases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  <w:r>
              <w:t xml:space="preserve"> </w:t>
            </w:r>
            <w:r>
              <w:rPr>
                <w:rStyle w:val="VerbatimChar"/>
              </w:rPr>
              <w:t xml:space="preserve">BIN_config_DBPE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0.00005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domain adaptation off; DAVIS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Adam, reduce-on-plateau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learning rate halved after 5 epochs without improvement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Mixed precision on KIBA.</w:t>
      </w:r>
      <w:r>
        <w:t xml:space="preserve"> </w:t>
      </w:r>
      <w:r>
        <w:t xml:space="preserve">DeepDTA and HyperAttentionDTI were trained with mixed precision (float16 autocast) on KIBA, as recorded in each cell’s results file; MolTrans (whose layer normalisation underflows in half precision) and XAttn-Ref were trained in full precision, as was every DAVIS cell. The choice was validated beforehand on one DAVIS cell, HyperAttentionDTI at cold-pair, with three seeds per arm: test AUROC was 0.694 ± 0.038 in full precision (Kaggle, torch 2.10) and 0.681 ± 0.068 in mixed precision (Colab, torch 2.11), and precision@10 was 0.022 ± 0.012 against 0.023 ± 0.018, so the mixed-precision means lay within the full-precision seed spread. Three seeds per arm detect only a gross effect and cannot show equivalence, and the two arms also differed in library version and machine.</w:t>
      </w:r>
    </w:p>
    <w:p>
      <w:pPr>
        <w:pStyle w:val="BodyText"/>
      </w:pPr>
      <w:r>
        <w:t xml:space="preserve">Two defects in the vendored MolTrans code are contained without editing it. Its forward pass reshapes</w:t>
      </w:r>
      <w:r>
        <w:t xml:space="preserve"> </w:t>
      </w:r>
      <w:r>
        <w:t xml:space="preserve">by the configured batch size, so a final partial batch would be scored wrongly; the batch size is set</w:t>
      </w:r>
      <w:r>
        <w:t xml:space="preserve"> </w:t>
      </w:r>
      <w:r>
        <w:t xml:space="preserve">per batch (</w:t>
      </w:r>
      <w:r>
        <w:rPr>
          <w:rStyle w:val="VerbatimChar"/>
        </w:rPr>
        <w:t xml:space="preserve">_fit_batch_size</w:t>
      </w:r>
      <w:r>
        <w:t xml:space="preserve">). And one functional dropout call omits the training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baselines/MolTrans/models.py:103</w:t>
      </w:r>
      <w:r>
        <w:t xml:space="preserve">), so dropout stays active at inference: its test metrics are one</w:t>
      </w:r>
      <w:r>
        <w:t xml:space="preserve"> </w:t>
      </w:r>
      <w:r>
        <w:t xml:space="preserve">draw of that noise, as in the published model. On DAVIS cold-pair, six further draws of one checkpoint</w:t>
      </w:r>
      <w:r>
        <w:t xml:space="preserve"> </w:t>
      </w:r>
      <w:r>
        <w:t xml:space="preserve">spread its test AUROC over 0.5862–0.5954, and the recorded value lies inside that range.</w:t>
      </w:r>
    </w:p>
    <w:p>
      <w:pPr>
        <w:pStyle w:val="BodyText"/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Test AUROC, mean ± standard deviation over three training seeds.</w:t>
      </w:r>
      <w:r>
        <w:t xml:space="preserve"> </w:t>
      </w:r>
      <w:r>
        <w:t xml:space="preserve">“Sequence-unseen”</w:t>
      </w:r>
      <w:r>
        <w:t xml:space="preserve"> </w:t>
      </w:r>
      <w:r>
        <w:t xml:space="preserve">scores</w:t>
      </w:r>
      <w:r>
        <w:t xml:space="preserve"> </w:t>
      </w:r>
      <w:r>
        <w:t xml:space="preserve">only test targets whose sequence does not occur in training (Section 3.6). DrugBAN has no KIBA cells.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results/accuracy_v2/by_model.csv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DAVIS random</w:t>
            </w:r>
          </w:p>
        </w:tc>
        <w:tc>
          <w:tcPr/>
          <w:p>
            <w:pPr>
              <w:pStyle w:val="Compact"/>
            </w:pPr>
            <w:r>
              <w:t xml:space="preserve">DAVIS cold-drug</w:t>
            </w:r>
          </w:p>
        </w:tc>
        <w:tc>
          <w:tcPr/>
          <w:p>
            <w:pPr>
              <w:pStyle w:val="Compact"/>
            </w:pPr>
            <w:r>
              <w:t xml:space="preserve">DAVIS cold-target</w:t>
            </w:r>
          </w:p>
        </w:tc>
        <w:tc>
          <w:tcPr/>
          <w:p>
            <w:pPr>
              <w:pStyle w:val="Compact"/>
            </w:pPr>
            <w:r>
              <w:t xml:space="preserve">cold-target, sequence-unseen</w:t>
            </w:r>
          </w:p>
        </w:tc>
        <w:tc>
          <w:tcPr/>
          <w:p>
            <w:pPr>
              <w:pStyle w:val="Compact"/>
            </w:pPr>
            <w:r>
              <w:t xml:space="preserve">DAVIS cold-pair</w:t>
            </w:r>
          </w:p>
        </w:tc>
        <w:tc>
          <w:tcPr/>
          <w:p>
            <w:pPr>
              <w:pStyle w:val="Compact"/>
            </w:pPr>
            <w:r>
              <w:t xml:space="preserve">cold-pair, sequence-unseen</w:t>
            </w:r>
          </w:p>
        </w:tc>
        <w:tc>
          <w:tcPr/>
          <w:p>
            <w:pPr>
              <w:pStyle w:val="Compact"/>
            </w:pPr>
            <w:r>
              <w:t xml:space="preserve">KIBA random</w:t>
            </w:r>
          </w:p>
        </w:tc>
        <w:tc>
          <w:tcPr/>
          <w:p>
            <w:pPr>
              <w:pStyle w:val="Compact"/>
            </w:pPr>
            <w:r>
              <w:t xml:space="preserve">KIBA cold-drug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0.923 ± 0.002</w:t>
            </w:r>
          </w:p>
        </w:tc>
        <w:tc>
          <w:tcPr/>
          <w:p>
            <w:pPr>
              <w:pStyle w:val="Compact"/>
            </w:pPr>
            <w:r>
              <w:t xml:space="preserve">0.685 ± 0.019</w:t>
            </w:r>
          </w:p>
        </w:tc>
        <w:tc>
          <w:tcPr/>
          <w:p>
            <w:pPr>
              <w:pStyle w:val="Compact"/>
            </w:pPr>
            <w:r>
              <w:t xml:space="preserve">0.874 ± 0.006</w:t>
            </w:r>
          </w:p>
        </w:tc>
        <w:tc>
          <w:tcPr/>
          <w:p>
            <w:pPr>
              <w:pStyle w:val="Compact"/>
            </w:pPr>
            <w:r>
              <w:t xml:space="preserve">0.833 ± 0.008</w:t>
            </w:r>
          </w:p>
        </w:tc>
        <w:tc>
          <w:tcPr/>
          <w:p>
            <w:pPr>
              <w:pStyle w:val="Compact"/>
            </w:pPr>
            <w:r>
              <w:t xml:space="preserve">0.568 ± 0.025</w:t>
            </w:r>
          </w:p>
        </w:tc>
        <w:tc>
          <w:tcPr/>
          <w:p>
            <w:pPr>
              <w:pStyle w:val="Compact"/>
            </w:pPr>
            <w:r>
              <w:t xml:space="preserve">0.532 ± 0.029</w:t>
            </w:r>
          </w:p>
        </w:tc>
        <w:tc>
          <w:tcPr/>
          <w:p>
            <w:pPr>
              <w:pStyle w:val="Compact"/>
            </w:pPr>
            <w:r>
              <w:t xml:space="preserve">0.919 ± 0.004</w:t>
            </w:r>
          </w:p>
        </w:tc>
        <w:tc>
          <w:tcPr/>
          <w:p>
            <w:pPr>
              <w:pStyle w:val="Compact"/>
            </w:pPr>
            <w:r>
              <w:t xml:space="preserve">0.812 ± 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0.937 ± 0.005</w:t>
            </w:r>
          </w:p>
        </w:tc>
        <w:tc>
          <w:tcPr/>
          <w:p>
            <w:pPr>
              <w:pStyle w:val="Compact"/>
            </w:pPr>
            <w:r>
              <w:t xml:space="preserve">0.760 ± 0.042</w:t>
            </w:r>
          </w:p>
        </w:tc>
        <w:tc>
          <w:tcPr/>
          <w:p>
            <w:pPr>
              <w:pStyle w:val="Compact"/>
            </w:pPr>
            <w:r>
              <w:t xml:space="preserve">0.915 ± 0.001</w:t>
            </w:r>
          </w:p>
        </w:tc>
        <w:tc>
          <w:tcPr/>
          <w:p>
            <w:pPr>
              <w:pStyle w:val="Compact"/>
            </w:pPr>
            <w:r>
              <w:t xml:space="preserve">0.893 ± 0.001</w:t>
            </w:r>
          </w:p>
        </w:tc>
        <w:tc>
          <w:tcPr/>
          <w:p>
            <w:pPr>
              <w:pStyle w:val="Compact"/>
            </w:pPr>
            <w:r>
              <w:t xml:space="preserve">0.694 ± 0.038</w:t>
            </w:r>
          </w:p>
        </w:tc>
        <w:tc>
          <w:tcPr/>
          <w:p>
            <w:pPr>
              <w:pStyle w:val="Compact"/>
            </w:pPr>
            <w:r>
              <w:t xml:space="preserve">0.713 ± 0.050</w:t>
            </w:r>
          </w:p>
        </w:tc>
        <w:tc>
          <w:tcPr/>
          <w:p>
            <w:pPr>
              <w:pStyle w:val="Compact"/>
            </w:pPr>
            <w:r>
              <w:t xml:space="preserve">0.933 ± 0.001</w:t>
            </w:r>
          </w:p>
        </w:tc>
        <w:tc>
          <w:tcPr/>
          <w:p>
            <w:pPr>
              <w:pStyle w:val="Compact"/>
            </w:pPr>
            <w:r>
              <w:t xml:space="preserve">0.844 ± 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0.891 ± 0.006</w:t>
            </w:r>
          </w:p>
        </w:tc>
        <w:tc>
          <w:tcPr/>
          <w:p>
            <w:pPr>
              <w:pStyle w:val="Compact"/>
            </w:pPr>
            <w:r>
              <w:t xml:space="preserve">0.695 ± 0.033</w:t>
            </w:r>
          </w:p>
        </w:tc>
        <w:tc>
          <w:tcPr/>
          <w:p>
            <w:pPr>
              <w:pStyle w:val="Compact"/>
            </w:pPr>
            <w:r>
              <w:t xml:space="preserve">0.846 ± 0.010</w:t>
            </w:r>
          </w:p>
        </w:tc>
        <w:tc>
          <w:tcPr/>
          <w:p>
            <w:pPr>
              <w:pStyle w:val="Compact"/>
            </w:pPr>
            <w:r>
              <w:t xml:space="preserve">0.801 ± 0.012</w:t>
            </w:r>
          </w:p>
        </w:tc>
        <w:tc>
          <w:tcPr/>
          <w:p>
            <w:pPr>
              <w:pStyle w:val="Compact"/>
            </w:pPr>
            <w:r>
              <w:t xml:space="preserve">0.620 ± 0.031</w:t>
            </w:r>
          </w:p>
        </w:tc>
        <w:tc>
          <w:tcPr/>
          <w:p>
            <w:pPr>
              <w:pStyle w:val="Compact"/>
            </w:pPr>
            <w:r>
              <w:t xml:space="preserve">0.559 ± 0.040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0.924 ± 0.001</w:t>
            </w:r>
          </w:p>
        </w:tc>
        <w:tc>
          <w:tcPr/>
          <w:p>
            <w:pPr>
              <w:pStyle w:val="Compact"/>
            </w:pPr>
            <w:r>
              <w:t xml:space="preserve">0.721 ± 0.008</w:t>
            </w:r>
          </w:p>
        </w:tc>
        <w:tc>
          <w:tcPr/>
          <w:p>
            <w:pPr>
              <w:pStyle w:val="Compact"/>
            </w:pPr>
            <w:r>
              <w:t xml:space="preserve">0.857 ± 0.011</w:t>
            </w:r>
          </w:p>
        </w:tc>
        <w:tc>
          <w:tcPr/>
          <w:p>
            <w:pPr>
              <w:pStyle w:val="Compact"/>
            </w:pPr>
            <w:r>
              <w:t xml:space="preserve">0.835 ± 0.015</w:t>
            </w:r>
          </w:p>
        </w:tc>
        <w:tc>
          <w:tcPr/>
          <w:p>
            <w:pPr>
              <w:pStyle w:val="Compact"/>
            </w:pPr>
            <w:r>
              <w:t xml:space="preserve">0.624 ± 0.099</w:t>
            </w:r>
          </w:p>
        </w:tc>
        <w:tc>
          <w:tcPr/>
          <w:p>
            <w:pPr>
              <w:pStyle w:val="Compact"/>
            </w:pPr>
            <w:r>
              <w:t xml:space="preserve">0.607 ± 0.128</w:t>
            </w:r>
          </w:p>
        </w:tc>
        <w:tc>
          <w:tcPr/>
          <w:p>
            <w:pPr>
              <w:pStyle w:val="Compact"/>
            </w:pPr>
            <w:r>
              <w:t xml:space="preserve">0.894 ± 0.011</w:t>
            </w:r>
          </w:p>
        </w:tc>
        <w:tc>
          <w:tcPr/>
          <w:p>
            <w:pPr>
              <w:pStyle w:val="Compact"/>
            </w:pPr>
            <w:r>
              <w:t xml:space="preserve">0.807 ± 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DeepDTA</w:t>
            </w:r>
          </w:p>
        </w:tc>
        <w:tc>
          <w:tcPr/>
          <w:p>
            <w:pPr>
              <w:pStyle w:val="Compact"/>
            </w:pPr>
            <w:r>
              <w:t xml:space="preserve">0.929 ± 0.002</w:t>
            </w:r>
          </w:p>
        </w:tc>
        <w:tc>
          <w:tcPr/>
          <w:p>
            <w:pPr>
              <w:pStyle w:val="Compact"/>
            </w:pPr>
            <w:r>
              <w:t xml:space="preserve">0.692 ± 0.044</w:t>
            </w:r>
          </w:p>
        </w:tc>
        <w:tc>
          <w:tcPr/>
          <w:p>
            <w:pPr>
              <w:pStyle w:val="Compact"/>
            </w:pPr>
            <w:r>
              <w:t xml:space="preserve">0.907 ± 0.003</w:t>
            </w:r>
          </w:p>
        </w:tc>
        <w:tc>
          <w:tcPr/>
          <w:p>
            <w:pPr>
              <w:pStyle w:val="Compact"/>
            </w:pPr>
            <w:r>
              <w:t xml:space="preserve">0.884 ± 0.003</w:t>
            </w:r>
          </w:p>
        </w:tc>
        <w:tc>
          <w:tcPr/>
          <w:p>
            <w:pPr>
              <w:pStyle w:val="Compact"/>
            </w:pPr>
            <w:r>
              <w:t xml:space="preserve">0.728 ± 0.035</w:t>
            </w:r>
          </w:p>
        </w:tc>
        <w:tc>
          <w:tcPr/>
          <w:p>
            <w:pPr>
              <w:pStyle w:val="Compact"/>
            </w:pPr>
            <w:r>
              <w:t xml:space="preserve">0.749 ± 0.044</w:t>
            </w:r>
          </w:p>
        </w:tc>
        <w:tc>
          <w:tcPr/>
          <w:p>
            <w:pPr>
              <w:pStyle w:val="Compact"/>
            </w:pPr>
            <w:r>
              <w:t xml:space="preserve">0.918 ± 0.001</w:t>
            </w:r>
          </w:p>
        </w:tc>
        <w:tc>
          <w:tcPr/>
          <w:p>
            <w:pPr>
              <w:pStyle w:val="Compact"/>
            </w:pPr>
            <w:r>
              <w:t xml:space="preserve">0.832 ± 0.001</w:t>
            </w:r>
          </w:p>
        </w:tc>
      </w:tr>
    </w:tbl>
    <w:bookmarkEnd w:id="10"/>
    <w:bookmarkStart w:id="11" w:name="s4-readout-sensitivity"/>
    <w:p>
      <w:pPr>
        <w:pStyle w:val="Heading2"/>
      </w:pPr>
      <w:r>
        <w:t xml:space="preserve">S4 Readout sensitivity</w:t>
      </w:r>
    </w:p>
    <w:p>
      <w:pPr>
        <w:pStyle w:val="FirstParagraph"/>
      </w:pPr>
      <w:r>
        <w:t xml:space="preserve">A multi-head, multi-channel attention model must be reduced to one weight per residue. Besides the</w:t>
      </w:r>
      <w:r>
        <w:t xml:space="preserve"> </w:t>
      </w:r>
      <w:r>
        <w:t xml:space="preserve">primary readout (Section 2.2), the following reductions were scored with the same pipeline:</w:t>
      </w:r>
      <w:r>
        <w:t xml:space="preserve"> </w:t>
      </w:r>
      <w:r>
        <w:t xml:space="preserve">XAttn-Ref’s protein self-attention, HyperAttentionDTI’s maximum over channels and its receptive-field</w:t>
      </w:r>
      <w:r>
        <w:t xml:space="preserve"> </w:t>
      </w:r>
      <w:r>
        <w:t xml:space="preserve">spread, MolTrans’s maximum over heads and its first layer, MolTrans’s drug × protein interaction map,</w:t>
      </w:r>
      <w:r>
        <w:t xml:space="preserve"> </w:t>
      </w:r>
      <w:r>
        <w:t xml:space="preserve">and DrugBAN’s maximum over atoms and receptive-field spread. The reductions disagree most for</w:t>
      </w:r>
      <w:r>
        <w:t xml:space="preserve"> </w:t>
      </w:r>
      <w:r>
        <w:t xml:space="preserve">HyperAttentionDTI against the KLIFS pocket at the cold-target level:</w:t>
      </w:r>
    </w:p>
    <w:p>
      <w:pPr>
        <w:pStyle w:val="BodyText"/>
      </w:pPr>
      <w:r>
        <w:rPr>
          <w:b/>
          <w:bCs/>
        </w:rPr>
        <w:t xml:space="preserve">Supplementary Table S4.</w:t>
      </w:r>
      <w:r>
        <w:t xml:space="preserve"> </w:t>
      </w:r>
      <w:r>
        <w:t xml:space="preserve">HyperAttentionDTI, KLIFS pocket, DAVIS cold-target.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readout</w:t>
            </w:r>
          </w:p>
        </w:tc>
        <w:tc>
          <w:tcPr/>
          <w:p>
            <w:pPr>
              <w:pStyle w:val="Compact"/>
            </w:pPr>
            <w:r>
              <w:t xml:space="preserve">precision@10 (mean ± SD over seeds)</w:t>
            </w:r>
          </w:p>
        </w:tc>
        <w:tc>
          <w:tcPr/>
          <w:p>
            <w:pPr>
              <w:pStyle w:val="Compact"/>
            </w:pPr>
            <w:r>
              <w:t xml:space="preserve">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(channel mean)</w:t>
            </w:r>
          </w:p>
        </w:tc>
        <w:tc>
          <w:tcPr/>
          <w:p>
            <w:pPr>
              <w:pStyle w:val="Compact"/>
            </w:pPr>
            <w:r>
              <w:t xml:space="preserve">0.186 ± 0.032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over channels</w:t>
            </w:r>
          </w:p>
        </w:tc>
        <w:tc>
          <w:tcPr/>
          <w:p>
            <w:pPr>
              <w:pStyle w:val="Compact"/>
            </w:pPr>
            <w:r>
              <w:t xml:space="preserve">0.367 ± 0.104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receptive-field spread</w:t>
            </w:r>
          </w:p>
        </w:tc>
        <w:tc>
          <w:tcPr/>
          <w:p>
            <w:pPr>
              <w:pStyle w:val="Compact"/>
            </w:pPr>
            <w:r>
              <w:t xml:space="preserve">0.081 ± 0.046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</w:tr>
    </w:tbl>
    <w:p>
      <w:pPr>
        <w:pStyle w:val="BodyText"/>
      </w:pPr>
      <w:r>
        <w:t xml:space="preserve">The readout-comparison table is written by the readout runs to the checkpoint-side results folder</w:t>
      </w:r>
      <w:r>
        <w:t xml:space="preserve"> </w:t>
      </w:r>
      <w:r>
        <w:t xml:space="preserve">and is versioned in the repository as</w:t>
      </w:r>
      <w:r>
        <w:t xml:space="preserve"> </w:t>
      </w:r>
      <w:r>
        <w:rPr>
          <w:rStyle w:val="VerbatimChar"/>
        </w:rPr>
        <w:t xml:space="preserve">results/readout_comparison.csv</w:t>
      </w:r>
      <w:r>
        <w:t xml:space="preserve"> </w:t>
      </w:r>
      <w:r>
        <w:t xml:space="preserve">(a byte-identical copy). Drug dependence of each readout was measured on 25 proteins with four</w:t>
      </w:r>
      <w:r>
        <w:t xml:space="preserve"> </w:t>
      </w:r>
      <w:r>
        <w:t xml:space="preserve">drugs each: the top ten residues are identical across drugs in 100% of drug pairs for MolTrans’s</w:t>
      </w:r>
      <w:r>
        <w:t xml:space="preserve"> </w:t>
      </w:r>
      <w:r>
        <w:t xml:space="preserve">primary readout, in 72% for HyperAttentionDTI’s and in 0% for DrugBAN’s.</w:t>
      </w:r>
      <w:r>
        <w:t xml:space="preserve"> </w:t>
      </w:r>
      <w:r>
        <w:t xml:space="preserve">MolTrans’s drug × protein interaction map, scored as a readout variant, gives identical top-ten residues across drugs in 0% of the same 150 drug pairs.</w:t>
      </w:r>
    </w:p>
    <w:bookmarkEnd w:id="11"/>
    <w:bookmarkStart w:id="12" w:name="Xf4a999726ec4e1e0eb2aa2825e5513bdfb79a4e"/>
    <w:p>
      <w:pPr>
        <w:pStyle w:val="Heading2"/>
      </w:pPr>
      <w:r>
        <w:t xml:space="preserve">S5 Integrated gradients on the same weights (confirmatory)</w:t>
      </w:r>
    </w:p>
    <w:p>
      <w:pPr>
        <w:pStyle w:val="FirstParagraph"/>
      </w:pPr>
      <w:r>
        <w:t xml:space="preserve">Integrated gradients (Sundararajan et al., 2017; 32 steps) on the same checkpoints localise better than the attention in some cells, not</w:t>
      </w:r>
      <w:r>
        <w:t xml:space="preserve"> </w:t>
      </w:r>
      <w:r>
        <w:t xml:space="preserve">all.</w:t>
      </w:r>
      <w:r>
        <w:t xml:space="preserve"> </w:t>
      </w:r>
      <w:r>
        <w:t xml:space="preserve">For XAttn-Ref at DAVIS cold-drug, IG reaches 3.16 [2.40, 4.40]× chance in the pocket against the</w:t>
      </w:r>
      <w:r>
        <w:t xml:space="preserve"> </w:t>
      </w:r>
      <w:r>
        <w:t xml:space="preserve">attention’s 2.10 [1.83, 2.36]×. For HyperAttentionDTI at KIBA cold-drug, IG’s point estimate against</w:t>
      </w:r>
      <w:r>
        <w:t xml:space="preserve"> </w:t>
      </w:r>
      <w:r>
        <w:t xml:space="preserve">UniProt residues, 1.90×, is above the attention’s 0.94 [0.71, 1.19]×, but with seeds resampled its</w:t>
      </w:r>
      <w:r>
        <w:t xml:space="preserve"> </w:t>
      </w:r>
      <w:r>
        <w:t xml:space="preserve">interval, [0.63, 3.39], includes parity. IG coverage is partial</w:t>
      </w:r>
      <w:r>
        <w:t xml:space="preserve"> </w:t>
      </w:r>
      <w:r>
        <w:t xml:space="preserve">(this Supplement, S6), and we read it only as evidence that a weak attention map can under-report</w:t>
      </w:r>
      <w:r>
        <w:t xml:space="preserve"> </w:t>
      </w:r>
      <w:r>
        <w:t xml:space="preserve">what a model represents.</w:t>
      </w:r>
    </w:p>
    <w:bookmarkEnd w:id="12"/>
    <w:bookmarkStart w:id="13" w:name="s6-where-each-instrument-was-run"/>
    <w:p>
      <w:pPr>
        <w:pStyle w:val="Heading2"/>
      </w:pPr>
      <w:r>
        <w:t xml:space="preserve">S6 Where each instrument was run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with Holm (primary 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src/evaluation/run_audit.py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results/analysis_{davis,kiba}_policyA/audit_*_10k_permutations.*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 and KLIFS ladders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src/evaluation/run_ladder.py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results/analysis_*_policyA*/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and faithfulness intervals (two-way: seeds and targets resampled; quoted in the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src/evaluation/effects_v2.py --resample seeds_and_targets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results/effects_v2_2d/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and faithfulness intervals (targets only, as the amendment specified; comparison)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src/evaluation/effects_v2.py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results/effects_v2/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readout comparison</w:t>
            </w:r>
          </w:p>
        </w:tc>
        <w:tc>
          <w:tcPr/>
          <w:p>
            <w:pPr>
              <w:pStyle w:val="Compact"/>
            </w:pPr>
            <w:r>
              <w:t xml:space="preserve">readout runs (checkpoint-side), copied byte-identical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results/readout_comparison.csv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agreement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src/evaluation/seed_agreement.py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results/seed_agreement.md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src/evaluation/positive_control.py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results/positive_control_{davis,kiba}.md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and residue nulls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src/evaluation/positional_control.py</w:t>
            </w:r>
          </w:p>
        </w:tc>
        <w:tc>
          <w:tcPr/>
          <w:p>
            <w:pPr>
              <w:pStyle w:val="Compact"/>
            </w:pPr>
            <w:r>
              <w:t xml:space="preserve">all four attention models on DAVIS, UniProt and KLIFS (</w:t>
            </w:r>
            <w:r>
              <w:rPr>
                <w:rStyle w:val="VerbatimChar"/>
              </w:rPr>
              <w:t xml:space="preserve">results/analysis_davis_policyA/positional_control_*</w:t>
            </w:r>
            <w:r>
              <w:t xml:space="preserve">); HyperAttentionDTI and MolTrans on KIBA against both ground truths, XAttn-Ref on KIBA against KLIFS only (</w:t>
            </w:r>
            <w:r>
              <w:rPr>
                <w:rStyle w:val="VerbatimChar"/>
              </w:rPr>
              <w:t xml:space="preserve">results/analysis_kiba_policyA/positional_control_*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 (committed means)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src/evaluation/run_faithfulness.py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token_faithfulness.py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results/analysis_*_policyA/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and accuracy-vs-localization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src/evaluation/accuracy_table.py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results/accuracy_v2/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 retraining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src/evaluation/leakage_retrain.py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results/leakage_retrain_davis.md</w:t>
            </w:r>
          </w:p>
        </w:tc>
      </w:tr>
    </w:tbl>
    <w:bookmarkEnd w:id="13"/>
    <w:bookmarkStart w:id="14" w:name="s7-threats-to-validity-the-problem-log"/>
    <w:p>
      <w:pPr>
        <w:pStyle w:val="Heading2"/>
      </w:pPr>
      <w:r>
        <w:t xml:space="preserve">S7 Threats to validity: the problem log</w:t>
      </w:r>
    </w:p>
    <w:p>
      <w:pPr>
        <w:pStyle w:val="FirstParagraph"/>
      </w:pPr>
      <w:r>
        <w:rPr>
          <w:b/>
          <w:bCs/>
        </w:rPr>
        <w:t xml:space="preserve">Supplementary Table S5.</w:t>
      </w:r>
      <w:r>
        <w:t xml:space="preserve"> </w:t>
      </w:r>
      <w:r>
        <w:t xml:space="preserve">Problems found during the project, their effect, and how each is handled.</w:t>
      </w:r>
      <w:r>
        <w:t xml:space="preserve"> </w:t>
      </w:r>
      <w:r>
        <w:t xml:space="preserve">“Open”</w:t>
      </w:r>
      <w:r>
        <w:t xml:space="preserve"> </w:t>
      </w:r>
      <w:r>
        <w:t xml:space="preserve">marks a problem that remains a limitation of this manuscript.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effect if unhandled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status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DAVIS mutants carry the wild-type sequence</w:t>
            </w:r>
          </w:p>
        </w:tc>
        <w:tc>
          <w:tcPr/>
          <w:p>
            <w:pPr>
              <w:pStyle w:val="Compact"/>
            </w:pPr>
            <w:r>
              <w:t xml:space="preserve">“unseen”</w:t>
            </w:r>
            <w:r>
              <w:t xml:space="preserve"> </w:t>
            </w:r>
            <w:r>
              <w:t xml:space="preserve">targets partly seen; cold accuracy inflated</w:t>
            </w:r>
          </w:p>
        </w:tc>
        <w:tc>
          <w:tcPr/>
          <w:p>
            <w:pPr>
              <w:pStyle w:val="Compact"/>
            </w:pPr>
            <w:r>
              <w:t xml:space="preserve">sequence policy; leak quantified by retraining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results/sequence_audit_davis.md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results/leakage_retrain_davis.md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vendored MolTrans re-seeds the random generator on import</w:t>
            </w:r>
          </w:p>
        </w:tc>
        <w:tc>
          <w:tcPr/>
          <w:p>
            <w:pPr>
              <w:pStyle w:val="Compact"/>
            </w:pPr>
            <w:r>
              <w:t xml:space="preserve">every seed trains as the first seed</w:t>
            </w:r>
          </w:p>
        </w:tc>
        <w:tc>
          <w:tcPr/>
          <w:p>
            <w:pPr>
              <w:pStyle w:val="Compact"/>
            </w:pPr>
            <w:r>
              <w:t xml:space="preserve">seed after import; import wrapped to preserve generator state; affected cells retrained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tests/test_train_moltrans.py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tests/test_integrity_rng_seeds.py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masking arms not size-matched for a sub-word model</w:t>
            </w:r>
          </w:p>
        </w:tc>
        <w:tc>
          <w:tcPr/>
          <w:p>
            <w:pPr>
              <w:pStyle w:val="Compact"/>
            </w:pPr>
            <w:r>
              <w:t xml:space="preserve">random arm is roughly twice the intervention, biasing faithfulness</w:t>
            </w:r>
          </w:p>
        </w:tc>
        <w:tc>
          <w:tcPr/>
          <w:p>
            <w:pPr>
              <w:pStyle w:val="Compact"/>
            </w:pPr>
            <w:r>
              <w:t xml:space="preserve">token-matched control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results/mask_comparability_davis.md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match quality of MolTrans’s token-matched control not recorded; matching can fail when attention sits at a sequence end</w:t>
            </w:r>
          </w:p>
        </w:tc>
        <w:tc>
          <w:tcPr/>
          <w:p>
            <w:pPr>
              <w:pStyle w:val="Compact"/>
            </w:pPr>
            <w:r>
              <w:t xml:space="preserve">some control draws may exceed the tolerance</w:t>
            </w:r>
          </w:p>
        </w:tc>
        <w:tc>
          <w:tcPr/>
          <w:p>
            <w:pPr>
              <w:pStyle w:val="Compact"/>
            </w:pPr>
            <w:r>
              <w:t xml:space="preserve">reported as a limitation</w:t>
            </w:r>
          </w:p>
        </w:tc>
        <w:tc>
          <w:tcPr/>
          <w:p>
            <w:pPr>
              <w:pStyle w:val="Compact"/>
            </w:pPr>
            <w:r>
              <w:t xml:space="preserve">open — ledger T02, discovered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the primary readouts may differ from the maps the papers display; not confirmed against their figures</w:t>
            </w:r>
          </w:p>
        </w:tc>
        <w:tc>
          <w:tcPr/>
          <w:p>
            <w:pPr>
              <w:pStyle w:val="Compact"/>
            </w:pPr>
            <w:r>
              <w:t xml:space="preserve">a primary verdict may concern a different map</w:t>
            </w:r>
          </w:p>
        </w:tc>
        <w:tc>
          <w:tcPr/>
          <w:p>
            <w:pPr>
              <w:pStyle w:val="Compact"/>
            </w:pPr>
            <w:r>
              <w:t xml:space="preserve">alternative readouts scored as variants (MolTrans’s interaction map; others in S4)</w:t>
            </w:r>
          </w:p>
        </w:tc>
        <w:tc>
          <w:tcPr/>
          <w:p>
            <w:pPr>
              <w:pStyle w:val="Compact"/>
            </w:pPr>
            <w:r>
              <w:t xml:space="preserve">open —</w:t>
            </w:r>
            <w:r>
              <w:t xml:space="preserve"> </w:t>
            </w:r>
            <w:r>
              <w:rPr>
                <w:rStyle w:val="VerbatimChar"/>
              </w:rPr>
              <w:t xml:space="preserve">docs/readout_sources.md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permutation resolution was 500 in the original audit</w:t>
            </w:r>
          </w:p>
        </w:tc>
        <w:tc>
          <w:tcPr/>
          <w:p>
            <w:pPr>
              <w:pStyle w:val="Compact"/>
            </w:pPr>
            <w:r>
              <w:t xml:space="preserve">smallest p close to the smallest Holm threshold</w:t>
            </w:r>
          </w:p>
        </w:tc>
        <w:tc>
          <w:tcPr/>
          <w:p>
            <w:pPr>
              <w:pStyle w:val="Compact"/>
            </w:pPr>
            <w:r>
              <w:t xml:space="preserve">10,000-permutation audit is the primary record; verdicts unchanged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docs/PROTOCOL_AMENDMENT_v2.md</w:t>
            </w:r>
            <w:r>
              <w:t xml:space="preserve"> </w:t>
            </w: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two vendored repositories ship a module with the same name</w:t>
            </w:r>
          </w:p>
        </w:tc>
        <w:tc>
          <w:tcPr/>
          <w:p>
            <w:pPr>
              <w:pStyle w:val="Compact"/>
            </w:pPr>
            <w:r>
              <w:t xml:space="preserve">one model silently loads the other’s code</w:t>
            </w:r>
          </w:p>
        </w:tc>
        <w:tc>
          <w:tcPr/>
          <w:p>
            <w:pPr>
              <w:pStyle w:val="Compact"/>
            </w:pPr>
            <w:r>
              <w:t xml:space="preserve">modules loaded in isolation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tests/test_drugban_import_isolation.py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the analysis runner skipped finished outputs</w:t>
            </w:r>
          </w:p>
        </w:tc>
        <w:tc>
          <w:tcPr/>
          <w:p>
            <w:pPr>
              <w:pStyle w:val="Compact"/>
            </w:pPr>
            <w:r>
              <w:t xml:space="preserve">a partial grid would freeze missing levels silently</w:t>
            </w:r>
          </w:p>
        </w:tc>
        <w:tc>
          <w:tcPr/>
          <w:p>
            <w:pPr>
              <w:pStyle w:val="Compact"/>
            </w:pPr>
            <w:r>
              <w:t xml:space="preserve">runner refuses a changed grid outside a scratch folder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src/evaluation/run_all.py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tests/test_integrity_grid.py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faithfulness depends on the number of residues masked</w:t>
            </w:r>
          </w:p>
        </w:tc>
        <w:tc>
          <w:tcPr/>
          <w:p>
            <w:pPr>
              <w:pStyle w:val="Compact"/>
            </w:pPr>
            <w:r>
              <w:t xml:space="preserve">a verdict could reflect the chosen k</w:t>
            </w:r>
          </w:p>
        </w:tc>
        <w:tc>
          <w:tcPr/>
          <w:p>
            <w:pPr>
              <w:pStyle w:val="Compact"/>
            </w:pPr>
            <w:r>
              <w:t xml:space="preserve">k = 10 fixed in advance; k = 50 as sensitivity for two models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results/faithfulness_k50_davis/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DrugBAN’s loader caps molecules at a fixed atom count</w:t>
            </w:r>
          </w:p>
        </w:tc>
        <w:tc>
          <w:tcPr/>
          <w:p>
            <w:pPr>
              <w:pStyle w:val="Compact"/>
            </w:pPr>
            <w:r>
              <w:t xml:space="preserve">rows silently dropped</w:t>
            </w:r>
          </w:p>
        </w:tc>
        <w:tc>
          <w:tcPr/>
          <w:p>
            <w:pPr>
              <w:pStyle w:val="Compact"/>
            </w:pPr>
            <w:r>
              <w:t xml:space="preserve">collector skips and fails loudly above a limit; the limit is a floor of three rows or 1%, whichever is larger</w:t>
            </w:r>
          </w:p>
        </w:tc>
        <w:tc>
          <w:tcPr/>
          <w:p>
            <w:pPr>
              <w:pStyle w:val="Compact"/>
            </w:pPr>
            <w:r>
              <w:t xml:space="preserve">handled; limit wording corrected — ledger 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MolTrans keeps dropout on at inference</w:t>
            </w:r>
          </w:p>
        </w:tc>
        <w:tc>
          <w:tcPr/>
          <w:p>
            <w:pPr>
              <w:pStyle w:val="Compact"/>
            </w:pPr>
            <w:r>
              <w:t xml:space="preserve">single-draw test metrics and faithfulness re-runs differ slightly</w:t>
            </w:r>
          </w:p>
        </w:tc>
        <w:tc>
          <w:tcPr/>
          <w:p>
            <w:pPr>
              <w:pStyle w:val="Compact"/>
            </w:pPr>
            <w:r>
              <w:t xml:space="preserve">forward passes seeded for explanations; stated</w:t>
            </w:r>
          </w:p>
        </w:tc>
        <w:tc>
          <w:tcPr/>
          <w:p>
            <w:pPr>
              <w:pStyle w:val="Compact"/>
            </w:pPr>
            <w:r>
              <w:t xml:space="preserve">open (as published) — ledger T04, T05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HyperAttentionDTI masking would have written alanine; its positive logit was read alone</w:t>
            </w:r>
          </w:p>
        </w:tc>
        <w:tc>
          <w:tcPr/>
          <w:p>
            <w:pPr>
              <w:pStyle w:val="Compact"/>
            </w:pPr>
            <w:r>
              <w:t xml:space="preserve">a different intervention and a quantity that can move without the prediction</w:t>
            </w:r>
          </w:p>
        </w:tc>
        <w:tc>
          <w:tcPr/>
          <w:p>
            <w:pPr>
              <w:pStyle w:val="Compact"/>
            </w:pPr>
            <w:r>
              <w:t xml:space="preserve">mask to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via each model’s tokeniser; log-odds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src/evaluation/residue_space.py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ground-truth residues numbered along UniProt, not along the dataset sequence</w:t>
            </w:r>
          </w:p>
        </w:tc>
        <w:tc>
          <w:tcPr/>
          <w:p>
            <w:pPr>
              <w:pStyle w:val="Compact"/>
            </w:pPr>
            <w:r>
              <w:t xml:space="preserve">sites point at the wrong residue or past the end</w:t>
            </w:r>
          </w:p>
        </w:tc>
        <w:tc>
          <w:tcPr/>
          <w:p>
            <w:pPr>
              <w:pStyle w:val="Compact"/>
            </w:pPr>
            <w:r>
              <w:t xml:space="preserve">alignment-based re-numbering; the positive control fails on un-renumbered sites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src/data/align_ground_truth.py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tied attention broken by a stable sort</w:t>
            </w:r>
          </w:p>
        </w:tc>
        <w:tc>
          <w:tcPr/>
          <w:p>
            <w:pPr>
              <w:pStyle w:val="Compact"/>
            </w:pPr>
            <w:r>
              <w:t xml:space="preserve">positional artefact read as quality</w:t>
            </w:r>
          </w:p>
        </w:tc>
        <w:tc>
          <w:tcPr/>
          <w:p>
            <w:pPr>
              <w:pStyle w:val="Compact"/>
            </w:pPr>
            <w:r>
              <w:t xml:space="preserve">ties broken at random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src/evaluation/precision_at_k.py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Holm families enlarged after first results</w:t>
            </w:r>
          </w:p>
        </w:tc>
        <w:tc>
          <w:tcPr/>
          <w:p>
            <w:pPr>
              <w:pStyle w:val="Compact"/>
            </w:pPr>
            <w:r>
              <w:t xml:space="preserve">post-hoc family definition</w:t>
            </w:r>
          </w:p>
        </w:tc>
        <w:tc>
          <w:tcPr/>
          <w:p>
            <w:pPr>
              <w:pStyle w:val="Compact"/>
            </w:pPr>
            <w:r>
              <w:t xml:space="preserve">disclosed; frozen by dated amendment</w:t>
            </w:r>
          </w:p>
        </w:tc>
        <w:tc>
          <w:tcPr/>
          <w:p>
            <w:pPr>
              <w:pStyle w:val="Compact"/>
            </w:pPr>
            <w:r>
              <w:t xml:space="preserve">disclosed —</w:t>
            </w:r>
            <w:r>
              <w:t xml:space="preserve"> </w:t>
            </w:r>
            <w:r>
              <w:rPr>
                <w:rStyle w:val="VerbatimChar"/>
              </w:rPr>
              <w:t xml:space="preserve">docs/PROTOCOL_AMENDMENT_v2.md</w:t>
            </w:r>
            <w:r>
              <w:t xml:space="preserve"> </w:t>
            </w: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faithfulness re-runs do not reproduce the committed means exactly for MolTrans and for HyperAttentionDTI on DAVIS</w:t>
            </w:r>
          </w:p>
        </w:tc>
        <w:tc>
          <w:tcPr/>
          <w:p>
            <w:pPr>
              <w:pStyle w:val="Compact"/>
            </w:pPr>
            <w:r>
              <w:t xml:space="preserve">intervals describe a re-run draw</w:t>
            </w:r>
          </w:p>
        </w:tc>
        <w:tc>
          <w:tcPr/>
          <w:p>
            <w:pPr>
              <w:pStyle w:val="Compact"/>
            </w:pPr>
            <w:r>
              <w:t xml:space="preserve">committed means stay primary; verdict signs unchanged</w:t>
            </w:r>
          </w:p>
        </w:tc>
        <w:tc>
          <w:tcPr/>
          <w:p>
            <w:pPr>
              <w:pStyle w:val="Compact"/>
            </w:pPr>
            <w:r>
              <w:t xml:space="preserve">open — ledger T05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 interrupted checkpoint was once analysed</w:t>
            </w:r>
          </w:p>
        </w:tc>
        <w:tc>
          <w:tcPr/>
          <w:p>
            <w:pPr>
              <w:pStyle w:val="Compact"/>
            </w:pPr>
            <w:r>
              <w:t xml:space="preserve">a partly trained model scored as final</w:t>
            </w:r>
          </w:p>
        </w:tc>
        <w:tc>
          <w:tcPr/>
          <w:p>
            <w:pPr>
              <w:pStyle w:val="Compact"/>
            </w:pPr>
            <w:r>
              <w:t xml:space="preserve">runner refuses a checkpoint without its results file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no random-generator state or initial-weight hash recorded for the trained cells</w:t>
            </w:r>
          </w:p>
        </w:tc>
        <w:tc>
          <w:tcPr/>
          <w:p>
            <w:pPr>
              <w:pStyle w:val="Compact"/>
            </w:pPr>
            <w:r>
              <w:t xml:space="preserve">seed distinctness not provable after the fact</w:t>
            </w:r>
          </w:p>
        </w:tc>
        <w:tc>
          <w:tcPr/>
          <w:p>
            <w:pPr>
              <w:pStyle w:val="Compact"/>
            </w:pPr>
            <w:r>
              <w:t xml:space="preserve">recorded for all future cells by the cloud harness</w:t>
            </w:r>
          </w:p>
        </w:tc>
        <w:tc>
          <w:tcPr/>
          <w:p>
            <w:pPr>
              <w:pStyle w:val="Compact"/>
            </w:pPr>
            <w:r>
              <w:t xml:space="preserve">open for existing cells — ledger 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DAVIS cold-pair validation contains seen-by-sequence targets</w:t>
            </w:r>
          </w:p>
        </w:tc>
        <w:tc>
          <w:tcPr/>
          <w:p>
            <w:pPr>
              <w:pStyle w:val="Compact"/>
            </w:pPr>
            <w:r>
              <w:t xml:space="preserve">checkpoint selection influenced by the leak</w:t>
            </w:r>
          </w:p>
        </w:tc>
        <w:tc>
          <w:tcPr/>
          <w:p>
            <w:pPr>
              <w:pStyle w:val="Compact"/>
            </w:pPr>
            <w:r>
              <w:t xml:space="preserve">cannot be undone without retraining</w:t>
            </w:r>
          </w:p>
        </w:tc>
        <w:tc>
          <w:tcPr/>
          <w:p>
            <w:pPr>
              <w:pStyle w:val="Compact"/>
            </w:pPr>
            <w:r>
              <w:t xml:space="preserve">open —</w:t>
            </w:r>
            <w:r>
              <w:t xml:space="preserve"> </w:t>
            </w:r>
            <w:r>
              <w:rPr>
                <w:rStyle w:val="VerbatimChar"/>
              </w:rPr>
              <w:t xml:space="preserve">results/sequence_audit_davis.md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no conservation control for the pocket enrichment</w:t>
            </w:r>
          </w:p>
        </w:tc>
        <w:tc>
          <w:tcPr/>
          <w:p>
            <w:pPr>
              <w:pStyle w:val="Compact"/>
            </w:pPr>
            <w:r>
              <w:t xml:space="preserve">enrichment may reflect conserved residues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open — amendment A1/A7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the sampled 1,000-permutation per-seed p put one seed on the α line</w:t>
            </w:r>
          </w:p>
        </w:tc>
        <w:tc>
          <w:tcPr/>
          <w:p>
            <w:pPr>
              <w:pStyle w:val="Compact"/>
            </w:pPr>
            <w:r>
              <w:t xml:space="preserve">headline disagreement count 12 vs 11</w:t>
            </w:r>
          </w:p>
        </w:tc>
        <w:tc>
          <w:tcPr/>
          <w:p>
            <w:pPr>
              <w:pStyle w:val="Compact"/>
            </w:pPr>
            <w:r>
              <w:t xml:space="preserve">exact p recomputed independently; 11 reported, 12 disclosed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scripts/certification/step1b_exact_p_validation.py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the leak’s all-rows AUROC effect is not distinguishable from zero with three seeds</w:t>
            </w:r>
          </w:p>
        </w:tc>
        <w:tc>
          <w:tcPr/>
          <w:p>
            <w:pPr>
              <w:pStyle w:val="Compact"/>
            </w:pPr>
            <w:r>
              <w:t xml:space="preserve">a small, insignificant number quoted as a finding</w:t>
            </w:r>
          </w:p>
        </w:tc>
        <w:tc>
          <w:tcPr/>
          <w:p>
            <w:pPr>
              <w:pStyle w:val="Compact"/>
            </w:pPr>
            <w:r>
              <w:t xml:space="preserve">not quoted; leaked-row effect reported with its test</w:t>
            </w:r>
          </w:p>
        </w:tc>
        <w:tc>
          <w:tcPr/>
          <w:p>
            <w:pPr>
              <w:pStyle w:val="Compact"/>
            </w:pPr>
            <w:r>
              <w:t xml:space="preserve">handled —</w:t>
            </w:r>
            <w:r>
              <w:t xml:space="preserve"> </w:t>
            </w:r>
            <w:r>
              <w:rPr>
                <w:rStyle w:val="VerbatimChar"/>
              </w:rPr>
              <w:t xml:space="preserve">results/certification/step3_leak.txt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the same seed and the same initial weights give different results on re-running (three reruns of one cell)</w:t>
            </w:r>
          </w:p>
        </w:tc>
        <w:tc>
          <w:tcPr/>
          <w:p>
            <w:pPr>
              <w:pStyle w:val="Compact"/>
            </w:pPr>
            <w:r>
              <w:t xml:space="preserve">part of the</w:t>
            </w:r>
            <w:r>
              <w:t xml:space="preserve"> </w:t>
            </w:r>
            <w:r>
              <w:t xml:space="preserve">“seed”</w:t>
            </w:r>
            <w:r>
              <w:t xml:space="preserve"> </w:t>
            </w:r>
            <w:r>
              <w:t xml:space="preserve">variation is run-to-run variation, and the cause of the map disagreement is not isolated</w:t>
            </w:r>
          </w:p>
        </w:tc>
        <w:tc>
          <w:tcPr/>
          <w:p>
            <w:pPr>
              <w:pStyle w:val="Compact"/>
            </w:pPr>
            <w:r>
              <w:t xml:space="preserve">stated as a limitation; both canary runs are reported</w:t>
            </w:r>
          </w:p>
        </w:tc>
        <w:tc>
          <w:tcPr/>
          <w:p>
            <w:pPr>
              <w:pStyle w:val="Compact"/>
            </w:pPr>
            <w:r>
              <w:t xml:space="preserve">open —</w:t>
            </w:r>
            <w:r>
              <w:t xml:space="preserve"> </w:t>
            </w:r>
            <w:r>
              <w:rPr>
                <w:rStyle w:val="VerbatimChar"/>
              </w:rPr>
              <w:t xml:space="preserve">docs/canary_attempts/README.md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the 10,000-permutation audit’s cell p-values differ from an exact recomputation by up to 0.0511 on DAVIS and by 0.54 in one KIBA cell; the cause is not established</w:t>
            </w:r>
          </w:p>
        </w:tc>
        <w:tc>
          <w:tcPr/>
          <w:p>
            <w:pPr>
              <w:pStyle w:val="Compact"/>
            </w:pPr>
            <w:r>
              <w:t xml:space="preserve">the survivor counts could differ</w:t>
            </w:r>
          </w:p>
        </w:tc>
        <w:tc>
          <w:tcPr/>
          <w:p>
            <w:pPr>
              <w:pStyle w:val="Compact"/>
            </w:pPr>
            <w:r>
              <w:t xml:space="preserve">Holm recomputed from the exact p-values leaves the same survivors</w:t>
            </w:r>
          </w:p>
        </w:tc>
        <w:tc>
          <w:tcPr/>
          <w:p>
            <w:pPr>
              <w:pStyle w:val="Compact"/>
            </w:pPr>
            <w:r>
              <w:t xml:space="preserve">open —</w:t>
            </w:r>
            <w:r>
              <w:t xml:space="preserve"> </w:t>
            </w:r>
            <w:r>
              <w:rPr>
                <w:rStyle w:val="VerbatimChar"/>
              </w:rPr>
              <w:t xml:space="preserve">results/certification/step4_holm.txt</w:t>
            </w:r>
          </w:p>
        </w:tc>
      </w:tr>
    </w:tbl>
    <w:p>
      <w:pPr>
        <w:pStyle w:val="BodyText"/>
      </w:pPr>
      <w:r>
        <w:t xml:space="preserve">For (c), 47.9% of tokens change under the attended arm and 95.0% under an unmatched random arm, on</w:t>
      </w:r>
      <w:r>
        <w:t xml:space="preserve"> </w:t>
      </w:r>
      <w:r>
        <w:t xml:space="preserve">20 DAVIS proteins.</w:t>
      </w:r>
    </w:p>
    <w:bookmarkEnd w:id="14"/>
    <w:bookmarkStart w:id="15" w:name="s8-per-cell-tables"/>
    <w:p>
      <w:pPr>
        <w:pStyle w:val="Heading2"/>
      </w:pPr>
      <w:r>
        <w:t xml:space="preserve">S8 Per-cell tables</w:t>
      </w:r>
    </w:p>
    <w:p>
      <w:pPr>
        <w:pStyle w:val="FirstParagraph"/>
      </w:pPr>
      <w:r>
        <w:rPr>
          <w:b/>
          <w:bCs/>
        </w:rPr>
        <w:t xml:space="preserve">Supplementary Table S6.</w:t>
      </w:r>
      <w:r>
        <w:t xml:space="preserve"> </w:t>
      </w:r>
      <w:r>
        <w:t xml:space="preserve">Seed agreement for each of the 22 model–dataset–level cells scored against UniProt residues. Precision@10 of the three seeds in order, the cell’s exact chance level, and each seed’s exact permutation p-value; the marks give, for each seed in order, whether its exact p-value is below 0.05 (* yes, . no);</w:t>
      </w:r>
      <w:r>
        <w:t xml:space="preserve"> </w:t>
      </w:r>
      <w:r>
        <w:t xml:space="preserve">“disagree”</w:t>
      </w:r>
      <w:r>
        <w:t xml:space="preserve"> </w:t>
      </w:r>
      <w:r>
        <w:t xml:space="preserve">means some but not all seeds are below it. The last two columns are the audit’s median-over-seeds p-value and whether the cell survives Holm correction over its dataset’s family (uniform-map cells are in the family but not listed).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707"/>
        <w:gridCol w:w="1414"/>
        <w:gridCol w:w="565"/>
        <w:gridCol w:w="1555"/>
        <w:gridCol w:w="495"/>
        <w:gridCol w:w="565"/>
        <w:gridCol w:w="707"/>
        <w:gridCol w:w="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precision@10, per seed</w:t>
            </w:r>
          </w:p>
        </w:tc>
        <w:tc>
          <w:tcPr/>
          <w:p>
            <w:pPr>
              <w:pStyle w:val="Compact"/>
            </w:pPr>
            <w:r>
              <w:t xml:space="preserve">chance</w:t>
            </w:r>
          </w:p>
        </w:tc>
        <w:tc>
          <w:tcPr/>
          <w:p>
            <w:pPr>
              <w:pStyle w:val="Compact"/>
            </w:pPr>
            <w:r>
              <w:t xml:space="preserve">exact p, per seed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disagree</w:t>
            </w:r>
          </w:p>
        </w:tc>
        <w:tc>
          <w:tcPr/>
          <w:p>
            <w:pPr>
              <w:pStyle w:val="Compact"/>
            </w:pPr>
            <w:r>
              <w:t xml:space="preserve">audit p (median)</w:t>
            </w:r>
          </w:p>
        </w:tc>
        <w:tc>
          <w:tcPr/>
          <w:p>
            <w:pPr>
              <w:pStyle w:val="Compact"/>
            </w:pPr>
            <w:r>
              <w:t xml:space="preserve">Holm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0.024 / 0.021 / 0.019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0.0563 / 0.4768 / 0.7098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0.4782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0.022 / 0.032 / 0.024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0.2955 / 0.0000 / 0.0563</w:t>
            </w:r>
          </w:p>
        </w:tc>
        <w:tc>
          <w:tcPr/>
          <w:p>
            <w:pPr>
              <w:pStyle w:val="Compact"/>
            </w:pPr>
            <w:r>
              <w:t xml:space="preserve">.*.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0.0318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0.012 / 0.038 / 0.029</w:t>
            </w:r>
          </w:p>
        </w:tc>
        <w:tc>
          <w:tcPr/>
          <w:p>
            <w:pPr>
              <w:pStyle w:val="Compact"/>
            </w:pPr>
            <w:r>
              <w:t xml:space="preserve">0.0194</w:t>
            </w:r>
          </w:p>
        </w:tc>
        <w:tc>
          <w:tcPr/>
          <w:p>
            <w:pPr>
              <w:pStyle w:val="Compact"/>
            </w:pPr>
            <w:r>
              <w:t xml:space="preserve">0.9537 / 0.0009 / 0.0443</w:t>
            </w:r>
          </w:p>
        </w:tc>
        <w:tc>
          <w:tcPr/>
          <w:p>
            <w:pPr>
              <w:pStyle w:val="Compact"/>
            </w:pPr>
            <w:r>
              <w:t xml:space="preserve">.**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0.004 / 0.032 / 0.024</w:t>
            </w:r>
          </w:p>
        </w:tc>
        <w:tc>
          <w:tcPr/>
          <w:p>
            <w:pPr>
              <w:pStyle w:val="Compact"/>
            </w:pPr>
            <w:r>
              <w:t xml:space="preserve">0.0190</w:t>
            </w:r>
          </w:p>
        </w:tc>
        <w:tc>
          <w:tcPr/>
          <w:p>
            <w:pPr>
              <w:pStyle w:val="Compact"/>
            </w:pPr>
            <w:r>
              <w:t xml:space="preserve">0.9999 / 0.0115 / 0.2120</w:t>
            </w:r>
          </w:p>
        </w:tc>
        <w:tc>
          <w:tcPr/>
          <w:p>
            <w:pPr>
              <w:pStyle w:val="Compact"/>
            </w:pPr>
            <w:r>
              <w:t xml:space="preserve">.*.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0.2036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0.035 / 0.039 / 0.028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0.0000 / 0.0000 / 0.0017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9.999e-05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0.025 / 0.077 / 0.019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0.0348 / 0.0000 / 0.6662</w:t>
            </w:r>
          </w:p>
        </w:tc>
        <w:tc>
          <w:tcPr/>
          <w:p>
            <w:pPr>
              <w:pStyle w:val="Compact"/>
            </w:pPr>
            <w:r>
              <w:t xml:space="preserve">**.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0.0373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0.018 / 0.031 / 0.025</w:t>
            </w:r>
          </w:p>
        </w:tc>
        <w:tc>
          <w:tcPr/>
          <w:p>
            <w:pPr>
              <w:pStyle w:val="Compact"/>
            </w:pPr>
            <w:r>
              <w:t xml:space="preserve">0.0194</w:t>
            </w:r>
          </w:p>
        </w:tc>
        <w:tc>
          <w:tcPr/>
          <w:p>
            <w:pPr>
              <w:pStyle w:val="Compact"/>
            </w:pPr>
            <w:r>
              <w:t xml:space="preserve">0.6683 / 0.0257 / 0.1730</w:t>
            </w:r>
          </w:p>
        </w:tc>
        <w:tc>
          <w:tcPr/>
          <w:p>
            <w:pPr>
              <w:pStyle w:val="Compact"/>
            </w:pPr>
            <w:r>
              <w:t xml:space="preserve">.*.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0.1219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0.013 / 0.022 / 0.032</w:t>
            </w:r>
          </w:p>
        </w:tc>
        <w:tc>
          <w:tcPr/>
          <w:p>
            <w:pPr>
              <w:pStyle w:val="Compact"/>
            </w:pPr>
            <w:r>
              <w:t xml:space="preserve">0.0190</w:t>
            </w:r>
          </w:p>
        </w:tc>
        <w:tc>
          <w:tcPr/>
          <w:p>
            <w:pPr>
              <w:pStyle w:val="Compact"/>
            </w:pPr>
            <w:r>
              <w:t xml:space="preserve">0.9306 / 0.2953 / 0.0115</w:t>
            </w:r>
          </w:p>
        </w:tc>
        <w:tc>
          <w:tcPr/>
          <w:p>
            <w:pPr>
              <w:pStyle w:val="Compact"/>
            </w:pPr>
            <w:r>
              <w:t xml:space="preserve">..*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0.2935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0.019 / 0.015 / 0.019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0.7098 / 0.9956 / 0.7098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0.7109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0.022 / 0.021 / 0.021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0.2955 / 0.4768 / 0.4768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0.4477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0.018 / 0.028 / 0.022</w:t>
            </w:r>
          </w:p>
        </w:tc>
        <w:tc>
          <w:tcPr/>
          <w:p>
            <w:pPr>
              <w:pStyle w:val="Compact"/>
            </w:pPr>
            <w:r>
              <w:t xml:space="preserve">0.0194</w:t>
            </w:r>
          </w:p>
        </w:tc>
        <w:tc>
          <w:tcPr/>
          <w:p>
            <w:pPr>
              <w:pStyle w:val="Compact"/>
            </w:pPr>
            <w:r>
              <w:t xml:space="preserve">0.6683 / 0.0729 / 0.3409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0.2928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0.036 / 0.022 / 0.024</w:t>
            </w:r>
          </w:p>
        </w:tc>
        <w:tc>
          <w:tcPr/>
          <w:p>
            <w:pPr>
              <w:pStyle w:val="Compact"/>
            </w:pPr>
            <w:r>
              <w:t xml:space="preserve">0.0190</w:t>
            </w:r>
          </w:p>
        </w:tc>
        <w:tc>
          <w:tcPr/>
          <w:p>
            <w:pPr>
              <w:pStyle w:val="Compact"/>
            </w:pPr>
            <w:r>
              <w:t xml:space="preserve">0.0015 / 0.2953 / 0.2120</w:t>
            </w:r>
          </w:p>
        </w:tc>
        <w:tc>
          <w:tcPr/>
          <w:p>
            <w:pPr>
              <w:pStyle w:val="Compact"/>
            </w:pPr>
            <w:r>
              <w:t xml:space="preserve">*..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0.2036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0.023 / 0.009 / 0.013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0.1566 / 1.0000 / 0.9997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0.9997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0.027 / 0.027 / 0.011</w:t>
            </w:r>
          </w:p>
        </w:tc>
        <w:tc>
          <w:tcPr/>
          <w:p>
            <w:pPr>
              <w:pStyle w:val="Compact"/>
            </w:pPr>
            <w:r>
              <w:t xml:space="preserve">0.0204</w:t>
            </w:r>
          </w:p>
        </w:tc>
        <w:tc>
          <w:tcPr/>
          <w:p>
            <w:pPr>
              <w:pStyle w:val="Compact"/>
            </w:pPr>
            <w:r>
              <w:t xml:space="preserve">0.0047 / 0.0064 / 1.0000</w:t>
            </w:r>
          </w:p>
        </w:tc>
        <w:tc>
          <w:tcPr/>
          <w:p>
            <w:pPr>
              <w:pStyle w:val="Compact"/>
            </w:pPr>
            <w:r>
              <w:t xml:space="preserve">**.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0.006599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0.015 / 0.019 / 0.018</w:t>
            </w:r>
          </w:p>
        </w:tc>
        <w:tc>
          <w:tcPr/>
          <w:p>
            <w:pPr>
              <w:pStyle w:val="Compact"/>
            </w:pPr>
            <w:r>
              <w:t xml:space="preserve">0.0194</w:t>
            </w:r>
          </w:p>
        </w:tc>
        <w:tc>
          <w:tcPr/>
          <w:p>
            <w:pPr>
              <w:pStyle w:val="Compact"/>
            </w:pPr>
            <w:r>
              <w:t xml:space="preserve">0.8504 / 0.5582 / 0.6683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0.6581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0.018 / 0.013 / 0.008</w:t>
            </w:r>
          </w:p>
        </w:tc>
        <w:tc>
          <w:tcPr/>
          <w:p>
            <w:pPr>
              <w:pStyle w:val="Compact"/>
            </w:pPr>
            <w:r>
              <w:t xml:space="preserve">0.0190</w:t>
            </w:r>
          </w:p>
        </w:tc>
        <w:tc>
          <w:tcPr/>
          <w:p>
            <w:pPr>
              <w:pStyle w:val="Compact"/>
            </w:pPr>
            <w:r>
              <w:t xml:space="preserve">0.6108 / 0.9306 / 0.9938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0.9296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0.020 / 0.053 / 0.022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0.7946 / 0.0000 / 0.6432</w:t>
            </w:r>
          </w:p>
        </w:tc>
        <w:tc>
          <w:tcPr/>
          <w:p>
            <w:pPr>
              <w:pStyle w:val="Compact"/>
            </w:pPr>
            <w:r>
              <w:t xml:space="preserve">.*.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0.5736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0.028 / 0.063 / 0.017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0.0706 / 0.0000 / 0.9830</w:t>
            </w:r>
          </w:p>
        </w:tc>
        <w:tc>
          <w:tcPr/>
          <w:p>
            <w:pPr>
              <w:pStyle w:val="Compact"/>
            </w:pPr>
            <w:r>
              <w:t xml:space="preserve">.*.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0.07279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0.017 / 0.022 / 0.053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0.9730 / 0.6432 / 0.0000</w:t>
            </w:r>
          </w:p>
        </w:tc>
        <w:tc>
          <w:tcPr/>
          <w:p>
            <w:pPr>
              <w:pStyle w:val="Compact"/>
            </w:pPr>
            <w:r>
              <w:t xml:space="preserve">..*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0.5175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0.019 / 0.020 / 0.025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0.9065 / 0.8035 / 0.2655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0.2624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0.018 / 0.011 / 0.026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0.9258 / 1.0000 / 0.1723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0.9262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0.025 / 0.020 / 0.015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0.3147 / 0.8035 / 0.9956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0.7963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S7.</w:t>
      </w:r>
      <w:r>
        <w:t xml:space="preserve"> </w:t>
      </w:r>
      <w:r>
        <w:t xml:space="preserve">Enrichment over chance (mean precision@10 divided by mean chance, over the same proteins) for every model, level and ground truth, with 95% percentile intervals from a bootstrap that resamples both proteins and seeds (10,000 resamples); n is the number of proteins scored after the sequence policy; an interval that excludes one lies entirely on one side of chance. This is the table behind Figure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30"/>
        <w:gridCol w:w="1260"/>
        <w:gridCol w:w="990"/>
        <w:gridCol w:w="450"/>
        <w:gridCol w:w="810"/>
        <w:gridCol w:w="720"/>
        <w:gridCol w:w="810"/>
        <w:gridCol w:w="12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precision@10</w:t>
            </w:r>
          </w:p>
        </w:tc>
        <w:tc>
          <w:tcPr/>
          <w:p>
            <w:pPr>
              <w:pStyle w:val="Compact"/>
            </w:pPr>
            <w:r>
              <w:t xml:space="preserve">chance</w:t>
            </w:r>
          </w:p>
        </w:tc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0.79 to 1.33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0.93 to 1.66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0.53 to 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0.22 to 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1.33 to 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0.94 to 3.65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0.73 to 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0.58 to 1.82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0.67 to 1.07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0.86 to 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0.68 to 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0.90 to 2.08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0.43 to 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0.62 to 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0.54 to 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0.27 to 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0.72 to 2.28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0.70 to 2.70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0.68 to 2.25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0.71 to 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0.50 to 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0.58 to 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0.86 to 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0.89 to 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0.77 to 1.70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0.67 to 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1.48 to 1.98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0.94 to 1.73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1.08 to 1.60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  <w:tc>
          <w:tcPr/>
          <w:p>
            <w:pPr>
              <w:pStyle w:val="Compact"/>
            </w:pPr>
            <w:r>
              <w:t xml:space="preserve">1.03 to 1.73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0.91 to 1.04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0.93 to 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0.90 to 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0.87 to 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1.36 to 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1.83 to 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1.40 to 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1.69 to 2.35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0.78 to 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1.00 to 1.53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1.26 to 1.49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1.07 to 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0.97 to 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KLIFS pocket</w:t>
            </w:r>
          </w:p>
        </w:tc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XAttn-Ref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0.79 to 1.27</w:t>
            </w:r>
          </w:p>
        </w:tc>
      </w:tr>
    </w:tbl>
    <w:bookmarkEnd w:id="15"/>
    <w:bookmarkStart w:id="22" w:name="s9-supplementary-figures"/>
    <w:p>
      <w:pPr>
        <w:pStyle w:val="Heading2"/>
      </w:pPr>
      <w:r>
        <w:t xml:space="preserve">S9 Supplementary figures</w:t>
      </w:r>
    </w:p>
    <w:p>
      <w:pPr>
        <w:pStyle w:val="CaptionedFigure"/>
      </w:pPr>
      <w:r>
        <w:drawing>
          <wp:inline>
            <wp:extent cx="5334000" cy="2314707"/>
            <wp:effectExtent b="0" l="0" r="0" t="0"/>
            <wp:docPr descr="Supplementary Figure S1" title="" id="17" name="Picture"/>
            <a:graphic>
              <a:graphicData uri="http://schemas.openxmlformats.org/drawingml/2006/picture">
                <pic:pic>
                  <pic:nvPicPr>
                    <pic:cNvPr descr="../v2/figures/fig3_accurac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</w:t>
      </w:r>
    </w:p>
    <w:p>
      <w:pPr>
        <w:pStyle w:val="BodyText"/>
      </w:pPr>
      <w:r>
        <w:rPr>
          <w:b/>
          <w:bCs/>
        </w:rPr>
        <w:t xml:space="preserve">Supplementary Figure S1. Predictive accuracy per training seed.</w:t>
      </w:r>
      <w:r>
        <w:t xml:space="preserve"> </w:t>
      </w:r>
      <w:r>
        <w:t xml:space="preserve">Test AUROC of every cell (points, one per seed; bar = mean) on the uncorrected test sets. DeepDTA has no attention and anchors accuracy. KIBA has two levels (random, cold-drug) and no DrugBAN cells.</w:t>
      </w:r>
    </w:p>
    <w:p>
      <w:pPr>
        <w:pStyle w:val="CaptionedFigure"/>
      </w:pPr>
      <w:r>
        <w:drawing>
          <wp:inline>
            <wp:extent cx="5334000" cy="2386904"/>
            <wp:effectExtent b="0" l="0" r="0" t="0"/>
            <wp:docPr descr="Supplementary Figure S2" title="" id="20" name="Picture"/>
            <a:graphic>
              <a:graphicData uri="http://schemas.openxmlformats.org/drawingml/2006/picture">
                <pic:pic>
                  <pic:nvPicPr>
                    <pic:cNvPr descr="../v2/figures/fig4_accuracy_vs_localiz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</w:t>
      </w:r>
    </w:p>
    <w:p>
      <w:pPr>
        <w:pStyle w:val="BodyText"/>
      </w:pPr>
      <w:r>
        <w:rPr>
          <w:b/>
          <w:bCs/>
        </w:rPr>
        <w:t xml:space="preserve">Supplementary Figure S2. Accuracy does not predict localisation.</w:t>
      </w:r>
      <w:r>
        <w:t xml:space="preserve"> </w:t>
      </w:r>
      <w:r>
        <w:t xml:space="preserve">One point per attention-model cell and seed: test AUROC against enrichment over chance (UniProt, precision@10 divided by chance). For DAVIS cold-target and cold-pair, AUROC is scored on sequence-unseen targets, the same policy the explanation metrics use. Panel titles give Spearman’s ρ with a 95% bootstrap interval over cells.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2026-10-17T13:54:29Z</dcterms:created>
  <dcterms:modified xsi:type="dcterms:W3CDTF">2026-10-17T13:54:29Z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