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29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30046963eea11708bd402be0f9eba55f4e9b48c"/>
    <w:p>
      <w:pPr>
        <w:pStyle w:val="Heading1"/>
      </w:pPr>
      <w:r>
        <w:t xml:space="preserve">Seed-dependent verdicts: a calibrated audit of attention-based binding-site explanations in drug–target interaction models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Motivation:</w:t>
      </w:r>
      <w:r>
        <w:t xml:space="preserve"> </w:t>
      </w:r>
      <w:r>
        <w:t xml:space="preserve">Attention maps over the protein can be read as evidence of where a drug binds, and a figure from a single training run on a</w:t>
      </w:r>
      <w:r>
        <w:t xml:space="preserve"> </w:t>
      </w:r>
      <w:r>
        <w:t xml:space="preserve">random split is the simplest such report. We ask whether such binding-site verdicts are stable enough to report.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We retrained four attention-based drug–target interaction models (MolTrans, HyperAttentionDTI, DrugBAN and XAttn-Ref,</w:t>
      </w:r>
      <w:r>
        <w:t xml:space="preserve"> </w:t>
      </w:r>
      <w:r>
        <w:t xml:space="preserve">an in-house reference model) and a no-attention accuracy anchor, three seeds each, on identical kinase splits at up to four levels of</w:t>
      </w:r>
      <w:r>
        <w:t xml:space="preserve"> </w:t>
      </w:r>
      <w:r>
        <w:t xml:space="preserve">distribution shift (84 trained cells on DAVIS and KIBA), and scored explanations against chance, a positive control, nulls and size-matched</w:t>
      </w:r>
      <w:r>
        <w:t xml:space="preserve"> </w:t>
      </w:r>
      <w:r>
        <w:t xml:space="preserve">masking controls, with Holm correction over declared families.</w:t>
      </w:r>
    </w:p>
    <w:p>
      <w:pPr>
        <w:pStyle w:val="BodyText"/>
      </w:pPr>
      <w:r>
        <w:t xml:space="preserve">In 11 of 22 model–dataset–level cells the three seeds fall on different sides of the uncorrected α = 0.05 threshold of their own</w:t>
      </w:r>
      <w:r>
        <w:t xml:space="preserve"> </w:t>
      </w:r>
      <w:r>
        <w:t xml:space="preserve">verdict, and in 21 of 22 the seeds’ range exceeds the cell’s distance from chance.</w:t>
      </w:r>
    </w:p>
    <w:p>
      <w:pPr>
        <w:pStyle w:val="BodyText"/>
      </w:pPr>
      <w:r>
        <w:t xml:space="preserve">After Holm correction (on the median p over seeds), 1 of 20 DAVIS cells supports residue-level recovery (HyperAttentionDTI, random split, 1.66× chance) and 0 of 8 KIBA cells do.</w:t>
      </w:r>
    </w:p>
    <w:p>
      <w:pPr>
        <w:pStyle w:val="BodyText"/>
      </w:pPr>
      <w:r>
        <w:t xml:space="preserve">What replicates is coarser: masking the attended residues is load-bearing for three of the four models (not consistently for DrugBAN), and the ATP pocket is</w:t>
      </w:r>
      <w:r>
        <w:t xml:space="preserve"> </w:t>
      </w:r>
      <w:r>
        <w:t xml:space="preserve">enriched in XAttn-Ref’s maps at every DAVIS level and HyperAttentionDTI’s at three of four (point estimates 1.33–2.10× chance; conservation not controlled).</w:t>
      </w:r>
    </w:p>
    <w:p>
      <w:pPr>
        <w:pStyle w:val="BodyText"/>
      </w:pPr>
      <w:r>
        <w:t xml:space="preserve">DAVIS’s duplicated wild-type sequences inflate a DeepDTA baseline’s cold-target AUROC by 0.116 (p = 0.0013) on the leaked rows, but not</w:t>
      </w:r>
      <w:r>
        <w:t xml:space="preserve"> </w:t>
      </w:r>
      <w:r>
        <w:t xml:space="preserve">detectably (−0.019, p = 0.31) on the unleaked rows.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A single-seed attention figure cannot carry a residue-level binding-site claim; report verdicts across seeds, against</w:t>
      </w:r>
      <w:r>
        <w:t xml:space="preserve"> </w:t>
      </w:r>
      <w:r>
        <w:t xml:space="preserve">chance and a positive control, with correction and a stated readout.</w:t>
      </w:r>
    </w:p>
    <w:p>
      <w:pPr>
        <w:pStyle w:val="BodyText"/>
      </w:pPr>
      <w:r>
        <w:rPr>
          <w:b/>
          <w:bCs/>
        </w:rPr>
        <w:t xml:space="preserve">Availability and implementation:</w:t>
      </w:r>
      <w:r>
        <w:t xml:space="preserve"> </w:t>
      </w:r>
      <w:r>
        <w:t xml:space="preserve">Code, splits, analysis outputs and the figure scripts are at</w:t>
      </w:r>
      <w:r>
        <w:t xml:space="preserve"> </w:t>
      </w:r>
      <w:r>
        <w:t xml:space="preserve">https://github.com/Mahim56207/ColdSite-DTI_New.</w:t>
      </w:r>
      <w:r>
        <w:t xml:space="preserve"> </w:t>
      </w:r>
      <w:r>
        <w:rPr>
          <w:b/>
          <w:bCs/>
        </w:rPr>
        <w:t xml:space="preserve">[TO ADD BEFORE SUBMISSION — not yet done: an archived release with a DOI</w:t>
      </w:r>
      <w:r>
        <w:rPr>
          <w:b/>
          <w:bCs/>
        </w:rPr>
        <w:t xml:space="preserve"> </w:t>
      </w:r>
      <w:r>
        <w:rPr>
          <w:b/>
          <w:bCs/>
        </w:rPr>
        <w:t xml:space="preserve">(Zenodo or similar), which the journal requires in this line, and the public location of the trained checkpoints.]</w:t>
      </w:r>
    </w:p>
    <w:p>
      <w:pPr>
        <w:pStyle w:val="BodyText"/>
      </w:pPr>
      <w:r>
        <w:rPr>
          <w:b/>
          <w:bCs/>
        </w:rPr>
        <w:t xml:space="preserve">Contact:</w:t>
      </w:r>
      <w:r>
        <w:t xml:space="preserve"> </w:t>
      </w:r>
      <w:r>
        <w:t xml:space="preserve">[corresponding author’s e-mail — to be added by the author]</w:t>
      </w:r>
    </w:p>
    <w:p>
      <w:pPr>
        <w:pStyle w:val="BodyText"/>
      </w:pPr>
      <w:r>
        <w:rPr>
          <w:b/>
          <w:bCs/>
        </w:rPr>
        <w:t xml:space="preserve">Supplementary information:</w:t>
      </w:r>
      <w:r>
        <w:t xml:space="preserve"> </w:t>
      </w:r>
      <w:r>
        <w:t xml:space="preserve">Supplementary data are available online. [Wording to be matched to the template.]</w:t>
      </w:r>
    </w:p>
    <w:p>
      <w:pPr>
        <w:pStyle w:val="BodyText"/>
      </w:pPr>
      <w:r>
        <w:rPr>
          <w:b/>
          <w:bCs/>
        </w:rPr>
        <w:t xml:space="preserve">Mahim Agarwal</w:t>
      </w:r>
      <w:r>
        <w:t xml:space="preserve"> </w:t>
      </w:r>
      <w:r>
        <w:t xml:space="preserve">[affiliation and e-mail: to be added by the author]; supervised by</w:t>
      </w:r>
      <w:r>
        <w:t xml:space="preserve"> </w:t>
      </w:r>
      <w:r>
        <w:rPr>
          <w:b/>
          <w:bCs/>
        </w:rPr>
        <w:t xml:space="preserve">Dr. Chandra Mohan Dasari</w:t>
      </w:r>
      <w:r>
        <w:t xml:space="preserve">.</w:t>
      </w:r>
    </w:p>
    <w:bookmarkEnd w:id="9"/>
    <w:bookmarkEnd w:id="10"/>
    <w:bookmarkStart w:id="11" w:name="introduction"/>
    <w:p>
      <w:pPr>
        <w:pStyle w:val="Heading1"/>
      </w:pPr>
      <w:r>
        <w:t xml:space="preserve">1 Introduction</w:t>
      </w:r>
    </w:p>
    <w:p>
      <w:pPr>
        <w:pStyle w:val="FirstParagraph"/>
      </w:pPr>
      <w:r>
        <w:t xml:space="preserve">Several sequence-based drug–target interaction (DTI) models come with an explanation beside the prediction: an attention map over the</w:t>
      </w:r>
      <w:r>
        <w:t xml:space="preserve"> </w:t>
      </w:r>
      <w:r>
        <w:t xml:space="preserve">protein, read as marking where the drug binds. MolTrans (Huang et al., 2021) describes its interaction module as making prediction interpretable,</w:t>
      </w:r>
      <w:r>
        <w:t xml:space="preserve"> </w:t>
      </w:r>
      <w:r>
        <w:t xml:space="preserve">HyperAttentionDTI (Zhao et al., 2022) assigns an attention vector to each atom and amino acid, and DrugBAN (Bai et al., 2023) is titled an interpretable</w:t>
      </w:r>
      <w:r>
        <w:t xml:space="preserve"> </w:t>
      </w:r>
      <w:r>
        <w:t xml:space="preserve">bilinear attention network; later work reports interpretability alongside cold-start accuracy (for example GPS-DTI; Xiong et al., 2025).</w:t>
      </w:r>
      <w:r>
        <w:t xml:space="preserve"> </w:t>
      </w:r>
      <w:r>
        <w:t xml:space="preserve">A chemist choosing residues to mutate may reasonably read such a figure as mechanistic evidence. Whether it can bear that reading is an</w:t>
      </w:r>
      <w:r>
        <w:t xml:space="preserve"> </w:t>
      </w:r>
      <w:r>
        <w:t xml:space="preserve">empirical question about the figure, not about the model’s accuracy.</w:t>
      </w:r>
    </w:p>
    <w:p>
      <w:pPr>
        <w:pStyle w:val="BodyText"/>
      </w:pPr>
      <w:r>
        <w:t xml:space="preserve">The question has a history. In natural-language processing, attention weights were found to diverge from other importance measures (Jain and</w:t>
      </w:r>
      <w:r>
        <w:t xml:space="preserve"> </w:t>
      </w:r>
      <w:r>
        <w:t xml:space="preserve">Wallace, 2019; Serrano and Smith, 2019), and the conditions under which attention can serve as an explanation were debated (Wiegreffe and</w:t>
      </w:r>
      <w:r>
        <w:t xml:space="preserve"> </w:t>
      </w:r>
      <w:r>
        <w:t xml:space="preserve">Pinter, 2019). Two properties must be kept apart:</w:t>
      </w:r>
      <w:r>
        <w:t xml:space="preserve"> </w:t>
      </w:r>
      <w:r>
        <w:rPr>
          <w:i/>
          <w:iCs/>
        </w:rPr>
        <w:t xml:space="preserve">plausibility</w:t>
      </w:r>
      <w:r>
        <w:t xml:space="preserve">, whether the highlighted residues are those an expert would name, and</w:t>
      </w:r>
      <w:r>
        <w:t xml:space="preserve"> </w:t>
      </w:r>
      <w:r>
        <w:rPr>
          <w:i/>
          <w:iCs/>
        </w:rPr>
        <w:t xml:space="preserve">faithfulness</w:t>
      </w:r>
      <w:r>
        <w:t xml:space="preserve">, whether the prediction depends on them (DeYoung et al., 2020). In DTI, attention has been compared with interaction</w:t>
      </w:r>
      <w:r>
        <w:t xml:space="preserve"> </w:t>
      </w:r>
      <w:r>
        <w:t xml:space="preserve">annotations before. MONN (Li et al., 2020) built a benchmark of non-covalent interactions and reported that attention-based models, without</w:t>
      </w:r>
      <w:r>
        <w:t xml:space="preserve"> </w:t>
      </w:r>
      <w:r>
        <w:t xml:space="preserve">extra supervision, did not give satisfactory interpretability; ICAN (Kurata and Tsukiyama, 2022) reported that some weighted sites in its</w:t>
      </w:r>
      <w:r>
        <w:t xml:space="preserve"> </w:t>
      </w:r>
      <w:r>
        <w:t xml:space="preserve">cross-attention matrix match experimental binding sites with statistical significance; and a recent preprint (InteractBind; Meng et al.,</w:t>
      </w:r>
      <w:r>
        <w:t xml:space="preserve"> </w:t>
      </w:r>
      <w:r>
        <w:t xml:space="preserve">2026) reports limited binding-site localisation despite strong binding prediction. Our contribution is therefore not another comparison of</w:t>
      </w:r>
      <w:r>
        <w:t xml:space="preserve"> </w:t>
      </w:r>
      <w:r>
        <w:t xml:space="preserve">attention with binding sites. It is the question of whether such comparisons, as usually reported, are</w:t>
      </w:r>
      <w:r>
        <w:t xml:space="preserve"> </w:t>
      </w:r>
      <w:r>
        <w:rPr>
          <w:i/>
          <w:iCs/>
        </w:rPr>
        <w:t xml:space="preserve">stable and calibrated enough to</w:t>
      </w:r>
      <w:r>
        <w:rPr>
          <w:i/>
          <w:iCs/>
        </w:rPr>
        <w:t xml:space="preserve"> </w:t>
      </w:r>
      <w:r>
        <w:rPr>
          <w:i/>
          <w:iCs/>
        </w:rPr>
        <w:t xml:space="preserve">support a verdict at all</w:t>
      </w:r>
      <w:r>
        <w:t xml:space="preserve">.</w:t>
      </w:r>
    </w:p>
    <w:p>
      <w:pPr>
        <w:pStyle w:val="BodyText"/>
      </w:pPr>
      <w:r>
        <w:t xml:space="preserve">Three features of a single-run report make that doubtful. First, the figure comes from one training run, yet nothing guarantees that a second run</w:t>
      </w:r>
      <w:r>
        <w:t xml:space="preserve"> </w:t>
      </w:r>
      <w:r>
        <w:t xml:space="preserve">of the same recipe attends to the same residues. Second, a hit rate means little unless it is read against the protein’s chance level, the ceiling the</w:t>
      </w:r>
      <w:r>
        <w:t xml:space="preserve"> </w:t>
      </w:r>
      <w:r>
        <w:t xml:space="preserve">ground truth allows, a uniform map and a planted explanation of known quality, and comparisons across many cells need family-wise</w:t>
      </w:r>
      <w:r>
        <w:t xml:space="preserve"> </w:t>
      </w:r>
      <w:r>
        <w:t xml:space="preserve">correction. Third,</w:t>
      </w:r>
      <w:r>
        <w:t xml:space="preserve"> </w:t>
      </w:r>
      <w:r>
        <w:t xml:space="preserve">“the attention map”</w:t>
      </w:r>
      <w:r>
        <w:t xml:space="preserve"> </w:t>
      </w:r>
      <w:r>
        <w:t xml:space="preserve">is not one object: a multi-head, multi-channel model must be reduced to one weight per residue, and</w:t>
      </w:r>
      <w:r>
        <w:t xml:space="preserve"> </w:t>
      </w:r>
      <w:r>
        <w:t xml:space="preserve">that reduction is a choice. Behind all three sits the benchmark: DAVIS’s cold-start splits are defined by target identifiers, which are</w:t>
      </w:r>
      <w:r>
        <w:t xml:space="preserve"> </w:t>
      </w:r>
      <w:r>
        <w:t xml:space="preserve">not sequences, and the standard DAVIS release omits the modifications of its mutant kinases (Wu et al., 2025, preprint).</w:t>
      </w:r>
    </w:p>
    <w:p>
      <w:pPr>
        <w:pStyle w:val="BodyText"/>
      </w:pPr>
      <w:r>
        <w:t xml:space="preserve">We therefore present a methodological audit, not a new model. Three published attention-based models (MolTrans, HyperAttentionDTI,</w:t>
      </w:r>
      <w:r>
        <w:t xml:space="preserve"> </w:t>
      </w:r>
      <w:r>
        <w:t xml:space="preserve">DrugBAN) and XAttn-Ref, an in-house cross-attention model trained and scored identically, are retrained with their authors’ recipes on</w:t>
      </w:r>
      <w:r>
        <w:t xml:space="preserve"> </w:t>
      </w:r>
      <w:r>
        <w:t xml:space="preserve">identical kinase splits, three seeds per cell, at four levels of distribution shift on DAVIS (random, unseen drug, unseen target, both)</w:t>
      </w:r>
      <w:r>
        <w:t xml:space="preserve"> </w:t>
      </w:r>
      <w:r>
        <w:t xml:space="preserve">and two on KIBA (random, unseen drug; DrugBAN is on DAVIS only); DeepDTA, which has no attention, anchors accuracy. The DAVIS arm has 60 cells and the KIBA arm 24.</w:t>
      </w:r>
    </w:p>
    <w:p>
      <w:pPr>
        <w:pStyle w:val="BodyText"/>
      </w:pPr>
      <w:r>
        <w:t xml:space="preserve">Plausibility is precision@10 against UniProt’s annotated binding residues and against the KLIFS 85-residue ATP pocket, each read against its</w:t>
      </w:r>
      <w:r>
        <w:t xml:space="preserve"> </w:t>
      </w:r>
      <w:r>
        <w:t xml:space="preserve">own chance level and ceiling; faithfulness is the change in prediction when the attended residues are masked, against a random-masking</w:t>
      </w:r>
      <w:r>
        <w:t xml:space="preserve"> </w:t>
      </w:r>
      <w:r>
        <w:t xml:space="preserve">control of the same size.</w:t>
      </w:r>
      <w:r>
        <w:t xml:space="preserve"> </w:t>
      </w:r>
      <w:r>
        <w:t xml:space="preserve">A</w:t>
      </w:r>
      <w:r>
        <w:t xml:space="preserve"> </w:t>
      </w:r>
      <w:r>
        <w:t xml:space="preserve">“seed”</w:t>
      </w:r>
      <w:r>
        <w:t xml:space="preserve"> </w:t>
      </w:r>
      <w:r>
        <w:t xml:space="preserve">here is a full retraining with a different seed; we do not separate seed variance from other run-to-run variation (Section 4).</w:t>
      </w:r>
    </w:p>
    <w:p>
      <w:pPr>
        <w:pStyle w:val="BodyText"/>
      </w:pPr>
      <w:r>
        <w:t xml:space="preserve">Our main findings are four.</w:t>
      </w:r>
      <w:r>
        <w:t xml:space="preserve"> </w:t>
      </w:r>
      <w:r>
        <w:rPr>
          <w:b/>
          <w:bCs/>
        </w:rPr>
        <w:t xml:space="preserve">(a) The verdicts are not self-consistent across seeds.</w:t>
      </w:r>
      <w:r>
        <w:t xml:space="preserve"> </w:t>
      </w:r>
      <w:r>
        <w:t xml:space="preserve">In 11 of the 22 model–dataset–level cells scored</w:t>
      </w:r>
      <w:r>
        <w:t xml:space="preserve"> </w:t>
      </w:r>
      <w:r>
        <w:t xml:space="preserve">against UniProt residues, the three seeds fall on different sides of the uncorrected α = 0.05 threshold of an exact permutation test, and in</w:t>
      </w:r>
      <w:r>
        <w:t xml:space="preserve"> </w:t>
      </w:r>
      <w:r>
        <w:t xml:space="preserve">21 of the 22 the seeds’ range of precision@10 exceeds the cell’s distance from chance.</w:t>
      </w:r>
    </w:p>
    <w:p>
      <w:pPr>
        <w:pStyle w:val="BodyText"/>
      </w:pPr>
      <w:r>
        <w:rPr>
          <w:b/>
          <w:bCs/>
        </w:rPr>
        <w:t xml:space="preserve">(b) Under a calibrated battery, residue-level claims rarely survive.</w:t>
      </w:r>
      <w:r>
        <w:t xml:space="preserve"> </w:t>
      </w:r>
      <w:r>
        <w:t xml:space="preserve">After Holm correction, 1 of 20 DAVIS cells supports residue-level</w:t>
      </w:r>
      <w:r>
        <w:t xml:space="preserve"> </w:t>
      </w:r>
      <w:r>
        <w:t xml:space="preserve">recovery (HyperAttentionDTI, random split, 1.66× chance) and 0 of 8 KIBA cells do; what replicates is coarser, namely load-bearing</w:t>
      </w:r>
      <w:r>
        <w:t xml:space="preserve"> </w:t>
      </w:r>
      <w:r>
        <w:t xml:space="preserve">attention for three of the four models and enrichment of the ATP pocket.</w:t>
      </w:r>
    </w:p>
    <w:p>
      <w:pPr>
        <w:pStyle w:val="BodyText"/>
      </w:pPr>
      <w:r>
        <w:rPr>
          <w:b/>
          <w:bCs/>
        </w:rPr>
        <w:t xml:space="preserve">(c) The verdict depends on the readout</w:t>
      </w:r>
      <w:r>
        <w:t xml:space="preserve">, that is, on how a multi-channel map is reduced to one weight per residue (shown for HyperAttentionDTI), and on what</w:t>
      </w:r>
      <w:r>
        <w:t xml:space="preserve"> </w:t>
      </w:r>
      <w:r>
        <w:t xml:space="preserve">the map is a function of.</w:t>
      </w:r>
      <w:r>
        <w:t xml:space="preserve"> </w:t>
      </w:r>
      <w:r>
        <w:rPr>
          <w:b/>
          <w:bCs/>
        </w:rPr>
        <w:t xml:space="preserve">(d) The benchmark leaks:</w:t>
      </w:r>
      <w:r>
        <w:t xml:space="preserve"> </w:t>
      </w:r>
      <w:r>
        <w:t xml:space="preserve">on DAVIS’s leaked cold-target rows, the sequence match inflates a DeepDTA baseline’s AUROC by 0.116</w:t>
      </w:r>
      <w:r>
        <w:t xml:space="preserve"> </w:t>
      </w:r>
      <w:r>
        <w:t xml:space="preserve">(p = 0.0013), with no detectable inflation on the unleaked rows.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Every claim concerns kinase targets (DAVIS and KIBA are kinase panels). Training seeds four and five, DrugBAN on KIBA, further</w:t>
      </w:r>
      <w:r>
        <w:t xml:space="preserve"> </w:t>
      </w:r>
      <w:r>
        <w:t xml:space="preserve">explanation methods and a conservation control are declared in the protocol amendment but have not been run; they are limitations, not</w:t>
      </w:r>
      <w:r>
        <w:t xml:space="preserve"> </w:t>
      </w:r>
      <w:r>
        <w:t xml:space="preserve">results.</w:t>
      </w:r>
    </w:p>
    <w:bookmarkEnd w:id="11"/>
    <w:bookmarkStart w:id="19" w:name="methods"/>
    <w:p>
      <w:pPr>
        <w:pStyle w:val="Heading1"/>
      </w:pPr>
      <w:r>
        <w:t xml:space="preserve">2 Methods</w:t>
      </w:r>
    </w:p>
    <w:bookmarkStart w:id="12" w:name="data-task-and-splits"/>
    <w:p>
      <w:pPr>
        <w:pStyle w:val="Heading2"/>
      </w:pPr>
      <w:r>
        <w:t xml:space="preserve">2.1 Data, task and splits</w:t>
      </w:r>
    </w:p>
    <w:p>
      <w:pPr>
        <w:pStyle w:val="FirstParagraph"/>
      </w:pPr>
      <w:r>
        <w:t xml:space="preserve">DAVIS (Davis et al., 2011) and KIBA (Tang et al., 2014) are used as distributed with DeepDTA (Öztürk et al., 2018). Every model solves the same</w:t>
      </w:r>
      <w:r>
        <w:t xml:space="preserve"> </w:t>
      </w:r>
      <w:r>
        <w:t xml:space="preserve">binary task: a pair is positive if pKd ≥ 7.0 on DAVIS or its KIBA score is ≥ 12.1, one constant shared by all trainers.</w:t>
      </w:r>
    </w:p>
    <w:p>
      <w:pPr>
        <w:pStyle w:val="BodyText"/>
      </w:pPr>
      <w:r>
        <w:t xml:space="preserve">Each dataset is split at four levels of distribution shift: random; cold-drug, where test drugs are absent from training; cold-target, where test</w:t>
      </w:r>
      <w:r>
        <w:t xml:space="preserve"> </w:t>
      </w:r>
      <w:r>
        <w:t xml:space="preserve">targets are absent; and cold-pair, where both are. There is one fixed split per level; the three seeds of a cell change weight initialisation and</w:t>
      </w:r>
      <w:r>
        <w:t xml:space="preserve"> </w:t>
      </w:r>
      <w:r>
        <w:t xml:space="preserve">batch order only, so the spread across seeds is training variance, not split-selection variance. DAVIS has 30,056 labelled pairs over 442 targets.</w:t>
      </w:r>
    </w:p>
    <w:p>
      <w:pPr>
        <w:pStyle w:val="BodyText"/>
      </w:pPr>
      <w:r>
        <w:rPr>
          <w:b/>
          <w:bCs/>
        </w:rPr>
        <w:t xml:space="preserve">Targets are sequences, not identifiers.</w:t>
      </w:r>
      <w:r>
        <w:t xml:space="preserve"> </w:t>
      </w:r>
      <w:r>
        <w:t xml:space="preserve">The splits hold targets out by name, but DAVIS’s 442 targets are 379 distinct sequences: 54 mutant</w:t>
      </w:r>
      <w:r>
        <w:t xml:space="preserve"> </w:t>
      </w:r>
      <w:r>
        <w:t xml:space="preserve">targets carry exactly the wild-type sequence. Consequently 12 of the 88 cold-target test targets and 11 of the 88 cold-pair test targets are</w:t>
      </w:r>
      <w:r>
        <w:t xml:space="preserve"> </w:t>
      </w:r>
      <w:r>
        <w:t xml:space="preserve">identical in sequence to a training target, and 10 targets hold too little of the kinase domain to contain its ATP pocket.</w:t>
      </w:r>
    </w:p>
    <w:p>
      <w:pPr>
        <w:pStyle w:val="BodyText"/>
      </w:pPr>
      <w:r>
        <w:t xml:space="preserve">No model is retrained to correct this; the evaluation stops counting what it should not. Explanation metrics drop seen-by-sequence and</w:t>
      </w:r>
      <w:r>
        <w:t xml:space="preserve"> </w:t>
      </w:r>
      <w:r>
        <w:t xml:space="preserve">pocketless targets and count one protein per distinct sequence, and cold-level accuracy is reported on the sequence-unseen test targets as well as on</w:t>
      </w:r>
      <w:r>
        <w:t xml:space="preserve"> </w:t>
      </w:r>
      <w:r>
        <w:t xml:space="preserve">all of them. KIBA’s 229 targets are 229 distinct sequences, and none is excluded.</w:t>
      </w:r>
    </w:p>
    <w:bookmarkEnd w:id="12"/>
    <w:bookmarkStart w:id="13" w:name="models-and-training"/>
    <w:p>
      <w:pPr>
        <w:pStyle w:val="Heading2"/>
      </w:pPr>
      <w:r>
        <w:t xml:space="preserve">2.2 Models and training</w:t>
      </w:r>
    </w:p>
    <w:p>
      <w:pPr>
        <w:pStyle w:val="FirstParagraph"/>
      </w:pPr>
      <w:r>
        <w:t xml:space="preserve">Four attention-based models are audited: MolTrans (Huang et al., 2021), HyperAttentionDTI (Zhao et al., 2022), DrugBAN (Bai et al., 2023) and</w:t>
      </w:r>
      <w:r>
        <w:t xml:space="preserve"> </w:t>
      </w:r>
      <w:r>
        <w:t xml:space="preserve">XAttn-Ref. XAttn-Ref is the authors’ own model (repository name ColdSite-DTI): a two-branch encoder whose drug representation queries the residues</w:t>
      </w:r>
      <w:r>
        <w:t xml:space="preserve"> </w:t>
      </w:r>
      <w:r>
        <w:t xml:space="preserve">through one cross-attention layer. It receives exactly the same training protocol and analysis as the published models, and its results are reported</w:t>
      </w:r>
      <w:r>
        <w:t xml:space="preserve"> </w:t>
      </w:r>
      <w:r>
        <w:t xml:space="preserve">whether favourable or not. DeepDTA, which has no attention, anchors accuracy and is never scored for explanations.</w:t>
      </w:r>
    </w:p>
    <w:p>
      <w:pPr>
        <w:pStyle w:val="BodyText"/>
      </w:pPr>
      <w:r>
        <w:t xml:space="preserve">The published models are trained from their vendored repositories with their authors’ optimiser, learning rate, batch size and tokeniser; only data</w:t>
      </w:r>
      <w:r>
        <w:t xml:space="preserve"> </w:t>
      </w:r>
      <w:r>
        <w:t xml:space="preserve">loading is replaced, apart from the mixed precision on KIBA described below. All models share one checkpoint rule: up to 100 epochs, the checkpoint with the lowest validation loss among epochs ≥ 10, and</w:t>
      </w:r>
      <w:r>
        <w:t xml:space="preserve"> </w:t>
      </w:r>
      <w:r>
        <w:t xml:space="preserve">early stopping after 15 epochs without improvement (10 for DeepDTA).</w:t>
      </w:r>
    </w:p>
    <w:p>
      <w:pPr>
        <w:pStyle w:val="BodyText"/>
      </w:pPr>
      <w:r>
        <w:t xml:space="preserve">DAVIS cells are trained in full precision. On KIBA, DeepDTA and HyperAttentionDTI use mixed precision, whereas MolTrans (whose hand-written layer</w:t>
      </w:r>
      <w:r>
        <w:t xml:space="preserve"> </w:t>
      </w:r>
      <w:r>
        <w:t xml:space="preserve">normalisation underflows in half precision) and XAttn-Ref use full precision; the precision of every cell is recorded in its results file. Mixed precision was checked beforehand on one DAVIS cell (HyperAttentionDTI, cold-pair, three seeds per arm), where test AUROC and precision@10 stayed within the full-precision seed spread; three seeds detect only a gross effect and cannot show equivalence (Supplement).</w:t>
      </w:r>
      <w:r>
        <w:t xml:space="preserve"> </w:t>
      </w:r>
      <w:r>
        <w:t xml:space="preserve">DrugBAN is</w:t>
      </w:r>
      <w:r>
        <w:t xml:space="preserve"> </w:t>
      </w:r>
      <w:r>
        <w:t xml:space="preserve">trained on DAVIS only. Training ran on Kaggle sessions with two NVIDIA T4 GPUs, one independent job per GPU.</w:t>
      </w:r>
    </w:p>
    <w:p>
      <w:pPr>
        <w:pStyle w:val="BodyText"/>
      </w:pPr>
      <w:r>
        <w:t xml:space="preserve">The explanation scored for each model is the readout of the primary analysis: MolTrans’s protein-encoder self-attention</w:t>
      </w:r>
      <w:r>
        <w:t xml:space="preserve"> </w:t>
      </w:r>
      <w:r>
        <w:t xml:space="preserve">(last layer, mean over heads), HyperAttentionDTI’s channel-mean attention placed at the centre of each convolution window, DrugBAN’s bilinear</w:t>
      </w:r>
      <w:r>
        <w:t xml:space="preserve"> </w:t>
      </w:r>
      <w:r>
        <w:t xml:space="preserve">attention summed over drug atoms and averaged over heads, and XAttn-Ref’s cross-attention weights; each is projected to one non-negative weight per</w:t>
      </w:r>
      <w:r>
        <w:t xml:space="preserve"> </w:t>
      </w:r>
      <w:r>
        <w:t xml:space="preserve">residue. Whether each primary readout matches the map its authors display has not been confirmed against their figures; alternative readouts are</w:t>
      </w:r>
      <w:r>
        <w:t xml:space="preserve"> </w:t>
      </w:r>
      <w:r>
        <w:t xml:space="preserve">a sensitivity analysis (Supplement).</w:t>
      </w:r>
    </w:p>
    <w:bookmarkEnd w:id="13"/>
    <w:bookmarkStart w:id="14" w:name="ground-truths-and-plausibility"/>
    <w:p>
      <w:pPr>
        <w:pStyle w:val="Heading2"/>
      </w:pPr>
      <w:r>
        <w:t xml:space="preserve">2.3 Ground truths and plausibility</w:t>
      </w:r>
    </w:p>
    <w:p>
      <w:pPr>
        <w:pStyle w:val="FirstParagraph"/>
      </w:pPr>
      <w:r>
        <w:t xml:space="preserve">Two ground truths at different resolutions are used.</w:t>
      </w:r>
      <w:r>
        <w:t xml:space="preserve"> </w:t>
      </w:r>
      <w:r>
        <w:rPr>
          <w:b/>
          <w:bCs/>
        </w:rPr>
        <w:t xml:space="preserve">UniProt residues</w:t>
      </w:r>
      <w:r>
        <w:t xml:space="preserve">: sequence features of type Binding site, Active site and Nucleotide</w:t>
      </w:r>
      <w:r>
        <w:t xml:space="preserve"> </w:t>
      </w:r>
      <w:r>
        <w:t xml:space="preserve">binding (The UniProt Consortium, 2025), re-numbered onto each dataset sequence by alignment so that a site points at the residue the model read.</w:t>
      </w:r>
      <w:r>
        <w:t xml:space="preserve"> </w:t>
      </w:r>
      <w:r>
        <w:rPr>
          <w:b/>
          <w:bCs/>
        </w:rPr>
        <w:t xml:space="preserve">KLIFS pocket</w:t>
      </w:r>
      <w:r>
        <w:t xml:space="preserve">: the 85 residues lining the ATP cleft of every kinase (van Linden et al., 2014; Kanev et al., 2021), placed on each sequence by the</w:t>
      </w:r>
      <w:r>
        <w:t xml:space="preserve"> </w:t>
      </w:r>
      <w:r>
        <w:t xml:space="preserve">same alignment. Proteins are scored within their first 1,000 residues.</w:t>
      </w:r>
    </w:p>
    <w:p>
      <w:pPr>
        <w:pStyle w:val="BodyText"/>
      </w:pPr>
      <w:r>
        <w:t xml:space="preserve">Plausibility is precision@k, the fraction of a protein’s k most-attended residues that are sites, with k = 10 fixed before any result existed. It is</w:t>
      </w:r>
      <w:r>
        <w:t xml:space="preserve"> </w:t>
      </w:r>
      <w:r>
        <w:t xml:space="preserve">computed on one test pair per protein, so that proteins measured against many drugs are not weighted by that count. Each protein’s chance level is</w:t>
      </w:r>
      <w:r>
        <w:t xml:space="preserve"> </w:t>
      </w:r>
      <w:r>
        <w:t xml:space="preserve">(sites in the window) ÷ (window length), the exact expectation for k uniformly random residues, and its ceiling is min(sites, k) ÷ k.</w:t>
      </w:r>
    </w:p>
    <w:bookmarkEnd w:id="14"/>
    <w:bookmarkStart w:id="15" w:name="the-calibrated-battery"/>
    <w:p>
      <w:pPr>
        <w:pStyle w:val="Heading2"/>
      </w:pPr>
      <w:r>
        <w:t xml:space="preserve">2.4 The calibrated battery</w:t>
      </w:r>
    </w:p>
    <w:p>
      <w:pPr>
        <w:pStyle w:val="FirstParagraph"/>
      </w:pPr>
      <w:r>
        <w:t xml:space="preserve">A verdict is read only against the following instruments, each implemented once and applied identically to every model it covers.</w:t>
      </w:r>
    </w:p>
    <w:p>
      <w:pPr>
        <w:pStyle w:val="BodyText"/>
      </w:pPr>
      <w:r>
        <w:rPr>
          <w:b/>
          <w:bCs/>
        </w:rPr>
        <w:t xml:space="preserve">Chance, ceiling and a uniform floor.</w:t>
      </w:r>
      <w:r>
        <w:t xml:space="preserve"> </w:t>
      </w:r>
      <w:r>
        <w:t xml:space="preserve">Every precision@k is reported beside its chance and ceiling, and a uniform map (equal weight on every</w:t>
      </w:r>
      <w:r>
        <w:t xml:space="preserve"> </w:t>
      </w:r>
      <w:r>
        <w:t xml:space="preserve">residue) is passed through the same grid as an additional subject.</w:t>
      </w:r>
    </w:p>
    <w:p>
      <w:pPr>
        <w:pStyle w:val="BodyText"/>
      </w:pPr>
      <w:r>
        <w:rPr>
          <w:b/>
          <w:bCs/>
        </w:rPr>
        <w:t xml:space="preserve">Permutation test and family-wise correction.</w:t>
      </w:r>
      <w:r>
        <w:t xml:space="preserve"> </w:t>
      </w:r>
      <w:r>
        <w:t xml:space="preserve">For each cell the null draws k random residues per protein and averages over the split, preserving</w:t>
      </w:r>
      <w:r>
        <w:t xml:space="preserve"> </w:t>
      </w:r>
      <w:r>
        <w:t xml:space="preserve">the split’s mix of lengths and site counts; the p-value uses the add-one estimator over 10,000 permutations, and the</w:t>
      </w:r>
      <w:r>
        <w:t xml:space="preserve"> </w:t>
      </w:r>
      <w:r>
        <w:rPr>
          <w:b/>
          <w:bCs/>
        </w:rPr>
        <w:t xml:space="preserve">median over the three seeds</w:t>
      </w:r>
      <w:r>
        <w:t xml:space="preserve"> </w:t>
      </w:r>
      <w:r>
        <w:t xml:space="preserve">is</w:t>
      </w:r>
      <w:r>
        <w:t xml:space="preserve"> </w:t>
      </w:r>
      <w:r>
        <w:t xml:space="preserve">the cell’s p-value. Holm correction (Holm, 1979) is applied once over each dataset’s family: 20 DAVIS cells (four models and the uniform map at four</w:t>
      </w:r>
      <w:r>
        <w:t xml:space="preserve"> </w:t>
      </w:r>
      <w:r>
        <w:t xml:space="preserve">levels) and 8 KIBA cells (three models and the uniform map at two levels).</w:t>
      </w:r>
    </w:p>
    <w:p>
      <w:pPr>
        <w:pStyle w:val="BodyText"/>
      </w:pPr>
      <w:r>
        <w:t xml:space="preserve">The survival counts reported here (1 of 20 DAVIS cells, 0 of 8 KIBA cells) therefore describe this median-over-seeds rule, not individual seeds: a</w:t>
      </w:r>
      <w:r>
        <w:t xml:space="preserve"> </w:t>
      </w:r>
      <w:r>
        <w:t xml:space="preserve">Holm correction over the 48 per-seed exact tests instead retains 5 seed-runs, and over the 18 KIBA per-seed tests 3, because single seeds can clear a</w:t>
      </w:r>
      <w:r>
        <w:t xml:space="preserve"> </w:t>
      </w:r>
      <w:r>
        <w:t xml:space="preserve">corrected threshold that their median does not. Recomputing the Holm correction from the exact per-seed p-values instead of the 10,000-permutation estimates leaves the same survivors (1 of 20 and 0 of 8).</w:t>
      </w:r>
    </w:p>
    <w:p>
      <w:pPr>
        <w:pStyle w:val="BodyText"/>
      </w:pPr>
      <w:r>
        <w:t xml:space="preserve">The families are declared, not pre-registered: they grew from 16 to 20 (DAVIS) and from 6 to 8 (KIBA) when DrugBAN and XAttn-Ref’s KIBA cells were</w:t>
      </w:r>
      <w:r>
        <w:t xml:space="preserve"> </w:t>
      </w:r>
      <w:r>
        <w:t xml:space="preserve">added after the first results, and were frozen by a dated protocol amendment before any further analysis.</w:t>
      </w:r>
    </w:p>
    <w:p>
      <w:pPr>
        <w:pStyle w:val="BodyText"/>
      </w:pPr>
      <w:r>
        <w:rPr>
          <w:b/>
          <w:bCs/>
        </w:rPr>
        <w:t xml:space="preserve">Positive control.</w:t>
      </w:r>
      <w:r>
        <w:t xml:space="preserve"> </w:t>
      </w:r>
      <w:r>
        <w:t xml:space="preserve">Explanations of known quality are scored by the same functions on the real test proteins: at dose d, each true site is ranked</w:t>
      </w:r>
      <w:r>
        <w:t xml:space="preserve"> </w:t>
      </w:r>
      <w:r>
        <w:t xml:space="preserve">above every non-site with probability d. The oracle (d = 1) reaches its ceiling, and a dose of 0.02 is detected at every DAVIS level, so a null result</w:t>
      </w:r>
      <w:r>
        <w:t xml:space="preserve"> </w:t>
      </w:r>
      <w:r>
        <w:t xml:space="preserve">reflects the explanation and not the test’s resolution.</w:t>
      </w:r>
    </w:p>
    <w:p>
      <w:pPr>
        <w:pStyle w:val="BodyText"/>
      </w:pPr>
      <w:r>
        <w:rPr>
          <w:b/>
          <w:bCs/>
        </w:rPr>
        <w:t xml:space="preserve">Positional and residue-identity nulls.</w:t>
      </w:r>
      <w:r>
        <w:t xml:space="preserve"> </w:t>
      </w:r>
      <w:r>
        <w:t xml:space="preserve">Borrowed-map, same-residue and within-span nulls test whether an above-chance score could arise from where in</w:t>
      </w:r>
      <w:r>
        <w:t xml:space="preserve"> </w:t>
      </w:r>
      <w:r>
        <w:t xml:space="preserve">the sequence a map concentrates, or which amino acids it prefers, rather than from the sites.</w:t>
      </w:r>
    </w:p>
    <w:p>
      <w:pPr>
        <w:pStyle w:val="BodyText"/>
      </w:pPr>
      <w:r>
        <w:rPr>
          <w:b/>
          <w:bCs/>
        </w:rPr>
        <w:t xml:space="preserve">Faithfulness.</w:t>
      </w:r>
      <w:r>
        <w:t xml:space="preserve"> </w:t>
      </w:r>
      <w:r>
        <w:t xml:space="preserve">For the first 200 test pairs of each level, the ten most-attended residues are masked and the change in the model’s prediction is</w:t>
      </w:r>
      <w:r>
        <w:t xml:space="preserve"> </w:t>
      </w:r>
      <w:r>
        <w:t xml:space="preserve">compared with the mean change over five random maskings of the same size; the reported quantity is that difference, and the map is</w:t>
      </w:r>
      <w:r>
        <w:t xml:space="preserve"> </w:t>
      </w:r>
      <w:r>
        <w:rPr>
          <w:i/>
          <w:iCs/>
        </w:rPr>
        <w:t xml:space="preserve">load-bearing</w:t>
      </w:r>
      <w:r>
        <w:t xml:space="preserve"> </w:t>
      </w:r>
      <w:r>
        <w:t xml:space="preserve">if it is above zero. A masked residue becomes the unknown amino acid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 is re-tokenised by each model’s own tokeniser, so every model receives</w:t>
      </w:r>
      <w:r>
        <w:t xml:space="preserve"> </w:t>
      </w:r>
      <w:r>
        <w:t xml:space="preserve">the same intervention.</w:t>
      </w:r>
    </w:p>
    <w:bookmarkEnd w:id="15"/>
    <w:bookmarkStart w:id="16" w:name="seed-instability-and-effect-sizes"/>
    <w:p>
      <w:pPr>
        <w:pStyle w:val="Heading2"/>
      </w:pPr>
      <w:r>
        <w:t xml:space="preserve">2.5 Seed instability and effect sizes</w:t>
      </w:r>
    </w:p>
    <w:p>
      <w:pPr>
        <w:pStyle w:val="FirstParagraph"/>
      </w:pPr>
      <w:r>
        <w:t xml:space="preserve">For each model, dataset and level, each seed’s precision@10 is tested alone at α = 0.05, uncorrected, as a single-seed report would be. A cell’s seeds</w:t>
      </w:r>
      <w:r>
        <w:t xml:space="preserve"> </w:t>
      </w:r>
      <w:r>
        <w:rPr>
          <w:i/>
          <w:iCs/>
        </w:rPr>
        <w:t xml:space="preserve">disagree</w:t>
      </w:r>
      <w:r>
        <w:t xml:space="preserve"> </w:t>
      </w:r>
      <w:r>
        <w:t xml:space="preserve">if some but not all of them clear α, and its spread</w:t>
      </w:r>
      <w:r>
        <w:t xml:space="preserve"> </w:t>
      </w:r>
      <w:r>
        <w:rPr>
          <w:i/>
          <w:iCs/>
        </w:rPr>
        <w:t xml:space="preserve">exceeds its signal</w:t>
      </w:r>
      <w:r>
        <w:t xml:space="preserve"> </w:t>
      </w:r>
      <w:r>
        <w:t xml:space="preserve">if the range of the seeds’ precision@10 is larger than the</w:t>
      </w:r>
      <w:r>
        <w:t xml:space="preserve"> </w:t>
      </w:r>
      <w:r>
        <w:t xml:space="preserve">distance of their mean from chance. The per-seed p-value is exact: each protein’s hits under the null are hypergeometric and independent, and the</w:t>
      </w:r>
      <w:r>
        <w:t xml:space="preserve"> </w:t>
      </w:r>
      <w:r>
        <w:t xml:space="preserve">p-value is the upper tail of their convolution. Seed variance is also tested directly on the per-protein precision@10 of the three seeds, by a Friedman</w:t>
      </w:r>
      <w:r>
        <w:t xml:space="preserve"> </w:t>
      </w:r>
      <w:r>
        <w:t xml:space="preserve">test and by a permutation test that shuffles the seed labels within each protein (20,000 permutations), each Holm-corrected over the 22 cells.</w:t>
      </w:r>
    </w:p>
    <w:p>
      <w:pPr>
        <w:pStyle w:val="BodyText"/>
      </w:pPr>
      <w:r>
        <w:t xml:space="preserve">Effect sizes carry 95% percentile intervals from a two-way bootstrap with 10,000 resamples that draws the proteins with replacement and, independently,</w:t>
      </w:r>
      <w:r>
        <w:t xml:space="preserve"> </w:t>
      </w:r>
      <w:r>
        <w:t xml:space="preserve">the three seeds with replacement, so an interval carries seed-to-seed variance as well as protein sampling; with three seeds the seed draw is coarse</w:t>
      </w:r>
      <w:r>
        <w:t xml:space="preserve"> </w:t>
      </w:r>
      <w:r>
        <w:t xml:space="preserve">and the intervals are conservative. Enrichment over chance is the ratio of mean precision@10 to mean chance over the same resampled proteins.</w:t>
      </w:r>
      <w:r>
        <w:t xml:space="preserve"> </w:t>
      </w:r>
      <w:r>
        <w:t xml:space="preserve">The protocol amendment had specified a bootstrap over proteins only; those intervals, which omit seed variance, are kept in the Supplement and quoted only where</w:t>
      </w:r>
      <w:r>
        <w:t xml:space="preserve"> </w:t>
      </w:r>
      <w:r>
        <w:t xml:space="preserve">the contrast is the point.</w:t>
      </w:r>
    </w:p>
    <w:p>
      <w:pPr>
        <w:pStyle w:val="BodyText"/>
      </w:pPr>
      <w:r>
        <w:t xml:space="preserve">Accuracy is reported as AUROC and AUPRC, mean ± sample SD over three seeds. The association between accuracy and localisation is described by</w:t>
      </w:r>
      <w:r>
        <w:t xml:space="preserve"> </w:t>
      </w:r>
      <w:r>
        <w:t xml:space="preserve">Spearman’s ρ across cells with a bootstrap interval; it is a description, not a test.</w:t>
      </w:r>
    </w:p>
    <w:bookmarkEnd w:id="16"/>
    <w:bookmarkStart w:id="17" w:name="quantifying-the-davis-leak"/>
    <w:p>
      <w:pPr>
        <w:pStyle w:val="Heading2"/>
      </w:pPr>
      <w:r>
        <w:t xml:space="preserve">2.6 Quantifying the DAVIS leak</w:t>
      </w:r>
    </w:p>
    <w:p>
      <w:pPr>
        <w:pStyle w:val="FirstParagraph"/>
      </w:pPr>
      <w:r>
        <w:t xml:space="preserve">The accuracy anchor (DeepDTA) was retrained at the cold-target level on two further training sets of equal size (17,748 rows): one with every</w:t>
      </w:r>
      <w:r>
        <w:t xml:space="preserve"> </w:t>
      </w:r>
      <w:r>
        <w:t xml:space="preserve">seen-by-sequence target removed, and one that keeps the leaked targets while matching that row count and positive count. The difference between the</w:t>
      </w:r>
      <w:r>
        <w:t xml:space="preserve"> </w:t>
      </w:r>
      <w:r>
        <w:t xml:space="preserve">two, per seed and on the same test set, is the leak; the difference between the original and the matched set is the cost of the smaller training set.</w:t>
      </w:r>
    </w:p>
    <w:bookmarkEnd w:id="17"/>
    <w:bookmarkStart w:id="18" w:name="reproducibility"/>
    <w:p>
      <w:pPr>
        <w:pStyle w:val="Heading2"/>
      </w:pPr>
      <w:r>
        <w:t xml:space="preserve">2.7 Reproducibility</w:t>
      </w:r>
    </w:p>
    <w:p>
      <w:pPr>
        <w:pStyle w:val="FirstParagraph"/>
      </w:pPr>
      <w:r>
        <w:t xml:space="preserve">Analysis runs from one entry point per dataset. Split and ground-truth files are fixed by SHA-256 in a manifest, the vendored models are unmodified,</w:t>
      </w:r>
      <w:r>
        <w:t xml:space="preserve"> </w:t>
      </w:r>
      <w:r>
        <w:t xml:space="preserve">and every number in this manuscript carries a machine-checked source tag. Code and outputs: see Availability.</w:t>
      </w:r>
    </w:p>
    <w:bookmarkEnd w:id="18"/>
    <w:bookmarkEnd w:id="19"/>
    <w:bookmarkStart w:id="38" w:name="results"/>
    <w:p>
      <w:pPr>
        <w:pStyle w:val="Heading1"/>
      </w:pPr>
      <w:r>
        <w:t xml:space="preserve">3 Results</w:t>
      </w:r>
    </w:p>
    <w:bookmarkStart w:id="20" w:name="accuracy-of-the-retrained-models"/>
    <w:p>
      <w:pPr>
        <w:pStyle w:val="Heading2"/>
      </w:pPr>
      <w:r>
        <w:t xml:space="preserve">3.1 Accuracy of the retrained models</w:t>
      </w:r>
    </w:p>
    <w:p>
      <w:pPr>
        <w:pStyle w:val="FirstParagraph"/>
      </w:pPr>
      <w:r>
        <w:t xml:space="preserve">Every model was retrained with its authors’ recipe and scored on the same test sets (full table in the Supplement). At DAVIS’s random level all five</w:t>
      </w:r>
      <w:r>
        <w:t xml:space="preserve"> </w:t>
      </w:r>
      <w:r>
        <w:t xml:space="preserve">reach a test AUROC between 0.891 (DrugBAN) and 0.937 (HyperAttentionDTI), so the explanation results below do not come from models that failed to</w:t>
      </w:r>
      <w:r>
        <w:t xml:space="preserve"> </w:t>
      </w:r>
      <w:r>
        <w:t xml:space="preserve">train. Accuracy falls with distribution shift, most at the cold-pair level, where it ranges from 0.568 (MolTrans) to 0.728 (DeepDTA, which has no</w:t>
      </w:r>
      <w:r>
        <w:t xml:space="preserve"> </w:t>
      </w:r>
      <w:r>
        <w:t xml:space="preserve">attention), and the seed-to-seed standard deviation grows with it: 0.001–0.006 at the random level against 0.025–0.099 at cold-pair.</w:t>
      </w:r>
    </w:p>
    <w:bookmarkEnd w:id="20"/>
    <w:bookmarkStart w:id="24" w:name="X37396230811e488263ffbc0b6db8eb522da5085"/>
    <w:p>
      <w:pPr>
        <w:pStyle w:val="Heading2"/>
      </w:pPr>
      <w:r>
        <w:t xml:space="preserve">3.2 Binding-site verdicts are not self-consistent across training seeds</w:t>
      </w:r>
    </w:p>
    <w:p>
      <w:pPr>
        <w:pStyle w:val="FirstParagraph"/>
      </w:pPr>
      <w:r>
        <w:t xml:space="preserve">Scored against UniProt’s annotated residues, the three seeds of a cell disagree about their own verdict (they fall on different sides of the</w:t>
      </w:r>
      <w:r>
        <w:t xml:space="preserve"> </w:t>
      </w:r>
      <w:r>
        <w:t xml:space="preserve">uncorrected α = 0.05 threshold of a per-seed permutation test, as a single-run report would quote it) in 11 of 22 model–dataset–level cells (8 of 16</w:t>
      </w:r>
      <w:r>
        <w:t xml:space="preserve"> </w:t>
      </w:r>
      <w:r>
        <w:t xml:space="preserve">on DAVIS, 3 of 6 on KIBA). Only 1 cell has all three seeds above the threshold; 10 have none (Figure 1).</w:t>
      </w:r>
    </w:p>
    <w:p>
      <w:pPr>
        <w:pStyle w:val="BodyText"/>
      </w:pPr>
      <w:r>
        <w:t xml:space="preserve">The per-seed p-values are exact, so no sampling error enters. A count on a threshold is threshold-dependent (8 at α = 0.01, 13 at α = 0.10), and we</w:t>
      </w:r>
      <w:r>
        <w:t xml:space="preserve"> </w:t>
      </w:r>
      <w:r>
        <w:t xml:space="preserve">report 11 as the exact-test value at the conventional α, not as a constant of the recipes.</w:t>
      </w:r>
    </w:p>
    <w:p>
      <w:pPr>
        <w:pStyle w:val="BodyText"/>
      </w:pPr>
      <w:r>
        <w:t xml:space="preserve">The disagreement is not marginal: HyperAttentionDTI at DAVIS cold-drug places 0.025, 0.077 and 0.019 of its top-ten residues on annotated sites</w:t>
      </w:r>
      <w:r>
        <w:t xml:space="preserve"> </w:t>
      </w:r>
      <w:r>
        <w:t xml:space="preserve">against a chance of 0.020. In 21 of 22 UniProt cells the range of the three seeds’ precision@10 exceeds the cell’s distance from chance.</w:t>
      </w:r>
    </w:p>
    <w:p>
      <w:pPr>
        <w:pStyle w:val="BodyText"/>
      </w:pPr>
      <w:r>
        <w:t xml:space="preserve">Taken alone this descriptive criterion is weak, because a cell whose mean sits near chance meets it almost by construction, so we test seed variance</w:t>
      </w:r>
      <w:r>
        <w:t xml:space="preserve"> </w:t>
      </w:r>
      <w:r>
        <w:t xml:space="preserve">directly: Friedman tests over proteins and within-protein seed-label permutation tests find significant differences between the three seeds in 13 and</w:t>
      </w:r>
      <w:r>
        <w:t xml:space="preserve"> </w:t>
      </w:r>
      <w:r>
        <w:t xml:space="preserve">10 of the 22 cells before correction, and in 8 and 7 of 22 after Holm correction over the 22 cells.</w:t>
      </w:r>
    </w:p>
    <w:p>
      <w:pPr>
        <w:pStyle w:val="BodyText"/>
      </w:pPr>
      <w:r>
        <w:t xml:space="preserve">The variation is not scoring noise: collecting the explanations again from the same checkpoints moves precision@10 by a standard deviation of 0.0008</w:t>
      </w:r>
      <w:r>
        <w:t xml:space="preserve"> </w:t>
      </w:r>
      <w:r>
        <w:t xml:space="preserve">per seed, against a between-seed standard deviation of 0.0121.</w:t>
      </w:r>
    </w:p>
    <w:p>
      <w:pPr>
        <w:pStyle w:val="BodyText"/>
      </w:pPr>
      <w:r>
        <w:t xml:space="preserve">A bootstrap over proteins, the usual way to attach an interval to such a score, does not see this variance: for HyperAttentionDTI at DAVIS cold-drug it</w:t>
      </w:r>
      <w:r>
        <w:t xml:space="preserve"> </w:t>
      </w:r>
      <w:r>
        <w:t xml:space="preserve">gives an enrichment over chance of 1.98 [1.81, 2.15], an interval far from parity, for a cell whose seeds disagree and whose family-wise test fails. The</w:t>
      </w:r>
      <w:r>
        <w:t xml:space="preserve"> </w:t>
      </w:r>
      <w:r>
        <w:t xml:space="preserve">two-way bootstrap that resamples seeds as well, used for every interval below, gives the same cell [0.94, 3.65].</w:t>
      </w:r>
    </w:p>
    <w:p>
      <w:pPr>
        <w:pStyle w:val="CaptionedFigure"/>
      </w:pPr>
      <w:r>
        <w:drawing>
          <wp:inline>
            <wp:extent cx="5334000" cy="3038448"/>
            <wp:effectExtent b="0" l="0" r="0" t="0"/>
            <wp:docPr descr="Figure 1" title="" id="22" name="Picture"/>
            <a:graphic>
              <a:graphicData uri="http://schemas.openxmlformats.org/drawingml/2006/picture">
                <pic:pic>
                  <pic:nvPicPr>
                    <pic:cNvPr descr="../v2/figures/fig1_seed_instability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8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p>
      <w:pPr>
        <w:pStyle w:val="BodyText"/>
      </w:pPr>
      <w:r>
        <w:rPr>
          <w:b/>
          <w:bCs/>
        </w:rPr>
        <w:t xml:space="preserve">Figure 1. The same recipe, three seeds, different verdicts.</w:t>
      </w:r>
      <w:r>
        <w:t xml:space="preserve"> </w:t>
      </w:r>
      <w:r>
        <w:t xml:space="preserve">Precision@10 of each training seed (points) on DAVIS at four levels of shift, against UniProt residues (top) and the KLIFS 85-residue pocket (bottom). Black bar: mean of the three seeds; dashed tick: that level’s exact chance level. Seeds of one recipe that fall on both sides of chance are the instability reported here. The y-axes differ between panels.</w:t>
      </w:r>
    </w:p>
    <w:bookmarkEnd w:id="24"/>
    <w:bookmarkStart w:id="25" w:name="X4973426553b2ce0c1500220fabf36dcaa133b8e"/>
    <w:p>
      <w:pPr>
        <w:pStyle w:val="Heading2"/>
      </w:pPr>
      <w:r>
        <w:t xml:space="preserve">3.3 Under the calibrated battery, residue-level recovery rarely survives</w:t>
      </w:r>
    </w:p>
    <w:p>
      <w:pPr>
        <w:pStyle w:val="FirstParagraph"/>
      </w:pPr>
      <w:r>
        <w:t xml:space="preserve">The positive control sets the test’s resolution: an explanation that ranks as little as 0.02 of the true sites first is detected at every DAVIS level, so</w:t>
      </w:r>
      <w:r>
        <w:t xml:space="preserve"> </w:t>
      </w:r>
      <w:r>
        <w:t xml:space="preserve">a null below is a property of the maps and not of the test. With Holm correction over each dataset’s declared family, 1 of 20 DAVIS cells supports</w:t>
      </w:r>
      <w:r>
        <w:t xml:space="preserve"> </w:t>
      </w:r>
      <w:r>
        <w:t xml:space="preserve">residue-level recovery and 0 of 8 KIBA cells do. These counts describe the median-over-seeds rule of Section 2.4, not individual seeds.</w:t>
      </w:r>
    </w:p>
    <w:p>
      <w:pPr>
        <w:pStyle w:val="BodyText"/>
      </w:pPr>
      <w:r>
        <w:t xml:space="preserve">The surviving cell is HyperAttentionDTI at the random level (precision@10 0.034 against a chance of 0.020; enrichment 1.66 [1.33, 2.00]), at p = 0.0001,</w:t>
      </w:r>
      <w:r>
        <w:t xml:space="preserve"> </w:t>
      </w:r>
      <w:r>
        <w:t xml:space="preserve">the smallest value 10,000 permutations can give. The uniform map, passed through the same grid, never approaches significance (p of 0.4462 or more on</w:t>
      </w:r>
      <w:r>
        <w:t xml:space="preserve"> </w:t>
      </w:r>
      <w:r>
        <w:t xml:space="preserve">DAVIS, 0.2251 or more on KIBA), so the test does not reward a map for being flat.</w:t>
      </w:r>
    </w:p>
    <w:p>
      <w:pPr>
        <w:pStyle w:val="BodyText"/>
      </w:pPr>
      <w:r>
        <w:t xml:space="preserve">Once seeds are resampled the intervals agree with the correction: of the 22 UniProt cells, only this one has an interval above parity (Figure 2).</w:t>
      </w:r>
      <w:r>
        <w:t xml:space="preserve"> </w:t>
      </w:r>
      <w:r>
        <w:t xml:space="preserve">With proteins alone resampled, several more would, for example MolTrans at KIBA cold-drug, 1.57 [1.32, 1.82]; resampling seeds widens that interval to</w:t>
      </w:r>
      <w:r>
        <w:t xml:space="preserve"> </w:t>
      </w:r>
      <w:r>
        <w:t xml:space="preserve">[0.70, 2.70], and its split-level test does not survive (p = 0.07279 against a threshold of 0.00625).</w:t>
      </w:r>
    </w:p>
    <w:bookmarkEnd w:id="25"/>
    <w:bookmarkStart w:id="32" w:name="X69c0f5d6bc53b4dd991174c145fa2b1c60f39e5"/>
    <w:p>
      <w:pPr>
        <w:pStyle w:val="Heading2"/>
      </w:pPr>
      <w:r>
        <w:t xml:space="preserve">3.4 What replicates is coarse: pocket enrichment and load-bearing attention</w:t>
      </w:r>
    </w:p>
    <w:p>
      <w:pPr>
        <w:pStyle w:val="FirstParagraph"/>
      </w:pPr>
      <w:r>
        <w:t xml:space="preserve">Against the 85-residue KLIFS pocket, where chance is 0.137–0.143 on DAVIS, XAttn-Ref’s map is enriched at every DAVIS level (1.54–2.10× chance) and</w:t>
      </w:r>
      <w:r>
        <w:t xml:space="preserve"> </w:t>
      </w:r>
      <w:r>
        <w:t xml:space="preserve">HyperAttentionDTI’s at three of the four (1.33–1.70×, cold-pair only marginally); at cold-drug HyperAttentionDTI’s interval, 1.35 [0.94, 1.73], includes</w:t>
      </w:r>
      <w:r>
        <w:t xml:space="preserve"> </w:t>
      </w:r>
      <w:r>
        <w:t xml:space="preserve">parity once seeds are resampled. MolTrans’s intervals include parity at every level, and DrugBAN’s map sits on chance throughout (0.98–1.04×)</w:t>
      </w:r>
      <w:r>
        <w:t xml:space="preserve"> </w:t>
      </w:r>
      <w:r>
        <w:t xml:space="preserve">(Figure 2). On KIBA, XAttn-Ref’s cold-drug map is at chance (1.00 [0.79, 1.27]).</w:t>
      </w:r>
    </w:p>
    <w:p>
      <w:pPr>
        <w:pStyle w:val="BodyText"/>
      </w:pPr>
      <w:r>
        <w:t xml:space="preserve">Kinase ATP pockets are conserved and no conservation control was run, so this is a statement about a conserved region, not evidence that a ligand’s</w:t>
      </w:r>
      <w:r>
        <w:t xml:space="preserve"> </w:t>
      </w:r>
      <w:r>
        <w:t xml:space="preserve">contacts were learned. The positional nulls do rule out the simplest artefact for HyperAttentionDTI: its pocket hits beat a shuffle of the same attention</w:t>
      </w:r>
      <w:r>
        <w:t xml:space="preserve"> </w:t>
      </w:r>
      <w:r>
        <w:t xml:space="preserve">within the kinase domain in eight of its twelve seed-level cells (uncorrected), so the map prefers the pocket within the domain, not only the domain.</w:t>
      </w:r>
    </w:p>
    <w:p>
      <w:pPr>
        <w:pStyle w:val="BodyText"/>
      </w:pPr>
      <w:r>
        <w:t xml:space="preserve">Faithfulness is the most stable property measured for three of the four models. In all 16 cells of HyperAttentionDTI, MolTrans and XAttn-Ref, masking</w:t>
      </w:r>
      <w:r>
        <w:t xml:space="preserve"> </w:t>
      </w:r>
      <w:r>
        <w:t xml:space="preserve">the attended residues changes the prediction more than masking the same number of random ones, with every 95% interval above zero even when seeds are</w:t>
      </w:r>
      <w:r>
        <w:t xml:space="preserve"> </w:t>
      </w:r>
      <w:r>
        <w:t xml:space="preserve">resampled (Figure 5); the effect ranges from 0.054 [0.030, 0.080] (HyperAttentionDTI, DAVIS cold-pair) to 1.21 [0.68, 1.92] (XAttn-Ref, DAVIS random),</w:t>
      </w:r>
      <w:r>
        <w:t xml:space="preserve"> </w:t>
      </w:r>
      <w:r>
        <w:t xml:space="preserve">and MolTrans, measured in its own token space, is not on the same scale. The sign holds in every seed, but its size does not: within a cell the per-seed</w:t>
      </w:r>
      <w:r>
        <w:t xml:space="preserve"> </w:t>
      </w:r>
      <w:r>
        <w:t xml:space="preserve">deltas differ several-fold.</w:t>
      </w:r>
    </w:p>
    <w:p>
      <w:pPr>
        <w:pStyle w:val="BodyText"/>
      </w:pPr>
      <w:r>
        <w:t xml:space="preserve">DrugBAN’s attention is not consistently load-bearing: its deltas sit near zero and change sign between seeds (at cold-drug −0.0073, −0.0036 and 0.0128 for seeds one</w:t>
      </w:r>
      <w:r>
        <w:t xml:space="preserve"> </w:t>
      </w:r>
      <w:r>
        <w:t xml:space="preserve">to three), six of its twelve seed-level deltas are negative, and no level is load-bearing in all three seeds. They are point estimates only, because its</w:t>
      </w:r>
      <w:r>
        <w:t xml:space="preserve"> </w:t>
      </w:r>
      <w:r>
        <w:t xml:space="preserve">run did not record per-pair values and no interval can be attached.</w:t>
      </w:r>
    </w:p>
    <w:p>
      <w:pPr>
        <w:pStyle w:val="BodyText"/>
      </w:pPr>
      <w:r>
        <w:t xml:space="preserve">Finally, accuracy does not predict localisation: across the 48 DAVIS attention-model cells, Spearman’s ρ between AUROC and enrichment over chance is</w:t>
      </w:r>
      <w:r>
        <w:t xml:space="preserve"> </w:t>
      </w:r>
      <w:r>
        <w:t xml:space="preserve">0.003 [−0.309, 0.294].</w:t>
      </w:r>
    </w:p>
    <w:p>
      <w:pPr>
        <w:pStyle w:val="CaptionedFigure"/>
      </w:pPr>
      <w:r>
        <w:drawing>
          <wp:inline>
            <wp:extent cx="5334000" cy="4752109"/>
            <wp:effectExtent b="0" l="0" r="0" t="0"/>
            <wp:docPr descr="Figure 2" title="" id="27" name="Picture"/>
            <a:graphic>
              <a:graphicData uri="http://schemas.openxmlformats.org/drawingml/2006/picture">
                <pic:pic>
                  <pic:nvPicPr>
                    <pic:cNvPr descr="../v2/figures/fig2_enrichment_fores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2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</w:t>
      </w:r>
    </w:p>
    <w:p>
      <w:pPr>
        <w:pStyle w:val="BodyText"/>
      </w:pPr>
      <w:r>
        <w:rPr>
          <w:b/>
          <w:bCs/>
        </w:rPr>
        <w:t xml:space="preserve">Figure 2. Enrichment over chance with 95% bootstrap intervals.</w:t>
      </w:r>
      <w:r>
        <w:t xml:space="preserve"> </w:t>
      </w:r>
      <w:r>
        <w:t xml:space="preserve">Precision@10 divided by chance for every model and level, DAVIS (top) and KIBA (bottom), against UniProt residues (left) and the KLIFS pocket (right). Intervals are 95% percentile intervals from a two-way bootstrap that resamples both proteins and seeds (10,000 resamples); log scale; the dashed line is chance (an enrichment of one). Pocket-level enrichment is not controlled for residue conservation.</w:t>
      </w:r>
    </w:p>
    <w:p>
      <w:pPr>
        <w:pStyle w:val="CaptionedFigure"/>
      </w:pPr>
      <w:r>
        <w:drawing>
          <wp:inline>
            <wp:extent cx="5334000" cy="1878580"/>
            <wp:effectExtent b="0" l="0" r="0" t="0"/>
            <wp:docPr descr="Figure 5" title="" id="30" name="Picture"/>
            <a:graphic>
              <a:graphicData uri="http://schemas.openxmlformats.org/drawingml/2006/picture">
                <pic:pic>
                  <pic:nvPicPr>
                    <pic:cNvPr descr="../v2/figures/fig5_faithfulnes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8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</w:t>
      </w:r>
    </w:p>
    <w:p>
      <w:pPr>
        <w:pStyle w:val="BodyText"/>
      </w:pPr>
      <w:r>
        <w:rPr>
          <w:b/>
          <w:bCs/>
        </w:rPr>
        <w:t xml:space="preserve">Figure 5. Masking the attended residues matters more than masking random ones.</w:t>
      </w:r>
      <w:r>
        <w:t xml:space="preserve"> </w:t>
      </w:r>
      <w:r>
        <w:t xml:space="preserve">Faithfulness delta (attended masking minus a size-matched random-masking control), mean over proteins, with 95% two-way bootstrap intervals (proteins and seeds resampled, 10,000 resamples). MolTrans is measured in its own token space and the others in residue space, so the three panels do not share a scale. DrugBAN is not drawn: its per-seed deltas are reported in the text but carry no interval, because its per-pair values were not recorded. No KIBA cell exists for XAttn-Ref.</w:t>
      </w:r>
    </w:p>
    <w:bookmarkEnd w:id="32"/>
    <w:bookmarkStart w:id="33" w:name="X0143d6ba96157ba18dd43b44e2f2b1a6fdf5bc6"/>
    <w:p>
      <w:pPr>
        <w:pStyle w:val="Heading2"/>
      </w:pPr>
      <w:r>
        <w:t xml:space="preserve">3.5 The verdict depends on the readout and on what the map is a function of</w:t>
      </w:r>
    </w:p>
    <w:p>
      <w:pPr>
        <w:pStyle w:val="FirstParagraph"/>
      </w:pPr>
      <w:r>
        <w:t xml:space="preserve">A multi-channel attention tensor must be reduced to one weight per residue, and the choice decides the verdict. Two defensible reductions of the same</w:t>
      </w:r>
      <w:r>
        <w:t xml:space="preserve"> </w:t>
      </w:r>
      <w:r>
        <w:t xml:space="preserve">HyperAttentionDTI weights place 0.367 and 0.081 of their top-ten residues in the ATP pocket at the cold-target level, against a chance of 0.140, a single model and level.</w:t>
      </w:r>
    </w:p>
    <w:p>
      <w:pPr>
        <w:pStyle w:val="BodyText"/>
      </w:pPr>
      <w:r>
        <w:t xml:space="preserve">Whether a map can depend on the drug is a property of the computation graph. For 25 proteins each paired with four drugs, the MolTrans readout scored</w:t>
      </w:r>
      <w:r>
        <w:t xml:space="preserve"> </w:t>
      </w:r>
      <w:r>
        <w:t xml:space="preserve">here gives the same top ten for every drug (100% of 150 drug pairs), HyperAttentionDTI’s in 72%, and DrugBAN’s in 0%. A map that cannot change with</w:t>
      </w:r>
      <w:r>
        <w:t xml:space="preserve"> </w:t>
      </w:r>
      <w:r>
        <w:t xml:space="preserve">the drug cannot mark that drug’s binding site, whatever its hit rate. MolTrans’s interaction map, a different readout of the same model, does change with the drug (identical top ten in 0% of the same 150 pairs).</w:t>
      </w:r>
    </w:p>
    <w:bookmarkEnd w:id="33"/>
    <w:bookmarkStart w:id="37" w:name="daviss-sequence-leakage-quantified"/>
    <w:p>
      <w:pPr>
        <w:pStyle w:val="Heading2"/>
      </w:pPr>
      <w:r>
        <w:t xml:space="preserve">3.6 DAVIS’s sequence leakage, quantified</w:t>
      </w:r>
    </w:p>
    <w:p>
      <w:pPr>
        <w:pStyle w:val="FirstParagraph"/>
      </w:pPr>
      <w:r>
        <w:t xml:space="preserve">DAVIS gives 54 of its mutant targets exactly the wild-type sequence, so 12 of the 88 cold-target test targets are seen by sequence in training: 816 of</w:t>
      </w:r>
      <w:r>
        <w:t xml:space="preserve"> </w:t>
      </w:r>
      <w:r>
        <w:t xml:space="preserve">5984 test rows (13.6%).</w:t>
      </w:r>
    </w:p>
    <w:p>
      <w:pPr>
        <w:pStyle w:val="BodyText"/>
      </w:pPr>
      <w:r>
        <w:t xml:space="preserve">The retrain was made on DeepDTA, the accuracy anchor, at the cold-target split, with three seeds, and separates the leak from the loss of training rows</w:t>
      </w:r>
      <w:r>
        <w:t xml:space="preserve"> </w:t>
      </w:r>
      <w:r>
        <w:t xml:space="preserve">(Figure 6). On the leaked rows the sequence match inflates AUROC by 0.116 (95% t-interval [0.098, 0.134], p = 0.0013). On the strictly unleaked rows no</w:t>
      </w:r>
      <w:r>
        <w:t xml:space="preserve"> </w:t>
      </w:r>
      <w:r>
        <w:t xml:space="preserve">inflation is detectable (−0.019, p = 0.31). Over all rows the net effect is 0.019 with an interval, [−0.022, 0.059], that includes zero (p = 0.19), because</w:t>
      </w:r>
      <w:r>
        <w:t xml:space="preserve"> </w:t>
      </w:r>
      <w:r>
        <w:t xml:space="preserve">the leaked rows are 13.6% of the test set; we therefore do not quote the all-rows figure as a finding. Explanation metrics exclude seen-by-sequence</w:t>
      </w:r>
      <w:r>
        <w:t xml:space="preserve"> </w:t>
      </w:r>
      <w:r>
        <w:t xml:space="preserve">targets throughout.</w:t>
      </w:r>
    </w:p>
    <w:p>
      <w:pPr>
        <w:pStyle w:val="CaptionedFigure"/>
      </w:pPr>
      <w:r>
        <w:drawing>
          <wp:inline>
            <wp:extent cx="5334000" cy="2196647"/>
            <wp:effectExtent b="0" l="0" r="0" t="0"/>
            <wp:docPr descr="Figure 6" title="" id="35" name="Picture"/>
            <a:graphic>
              <a:graphicData uri="http://schemas.openxmlformats.org/drawingml/2006/picture">
                <pic:pic>
                  <pic:nvPicPr>
                    <pic:cNvPr descr="../v2/figures/fig6_leakag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6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</w:t>
      </w:r>
    </w:p>
    <w:p>
      <w:pPr>
        <w:pStyle w:val="BodyText"/>
      </w:pPr>
      <w:r>
        <w:rPr>
          <w:b/>
          <w:bCs/>
        </w:rPr>
        <w:t xml:space="preserve">Figure 6. What DAVIS’s sequence leakage is worth to the accuracy anchor.</w:t>
      </w:r>
      <w:r>
        <w:t xml:space="preserve"> </w:t>
      </w:r>
      <w:r>
        <w:t xml:space="preserve">DeepDTA test AUROC (mean ± SD over three seeds) at cold-target and cold-pair, retrained on three training sets: the original split,</w:t>
      </w:r>
      <w:r>
        <w:t xml:space="preserve"> </w:t>
      </w:r>
      <w:r>
        <w:t xml:space="preserve">“seqclean”</w:t>
      </w:r>
      <w:r>
        <w:t xml:space="preserve"> </w:t>
      </w:r>
      <w:r>
        <w:t xml:space="preserve">(every seen-by-sequence target removed) and</w:t>
      </w:r>
      <w:r>
        <w:t xml:space="preserve"> </w:t>
      </w:r>
      <w:r>
        <w:t xml:space="preserve">“seqmatched”</w:t>
      </w:r>
      <w:r>
        <w:t xml:space="preserve"> </w:t>
      </w:r>
      <w:r>
        <w:t xml:space="preserve">(the leaked targets kept, at the size of</w:t>
      </w:r>
      <w:r>
        <w:t xml:space="preserve"> </w:t>
      </w:r>
      <w:r>
        <w:t xml:space="preserve">“seqclean”</w:t>
      </w:r>
      <w:r>
        <w:t xml:space="preserve">).</w:t>
      </w:r>
      <w:r>
        <w:t xml:space="preserve"> </w:t>
      </w:r>
      <w:r>
        <w:t xml:space="preserve">“seqmatched”</w:t>
      </w:r>
      <w:r>
        <w:t xml:space="preserve"> </w:t>
      </w:r>
      <w:r>
        <w:t xml:space="preserve">minus</w:t>
      </w:r>
      <w:r>
        <w:t xml:space="preserve"> </w:t>
      </w:r>
      <w:r>
        <w:t xml:space="preserve">“seqclean”</w:t>
      </w:r>
      <w:r>
        <w:t xml:space="preserve"> </w:t>
      </w:r>
      <w:r>
        <w:t xml:space="preserve">isolates the leak;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minus</w:t>
      </w:r>
      <w:r>
        <w:t xml:space="preserve"> </w:t>
      </w:r>
      <w:r>
        <w:t xml:space="preserve">“seqmatched”</w:t>
      </w:r>
      <w:r>
        <w:t xml:space="preserve"> </w:t>
      </w:r>
      <w:r>
        <w:t xml:space="preserve">is the cost of fewer rows. Scored on all test rows and separately on leaked and unleaked targets.</w:t>
      </w:r>
    </w:p>
    <w:p>
      <w:pPr>
        <w:pStyle w:val="BodyText"/>
      </w:pPr>
      <w:r>
        <w:t xml:space="preserve">Every result in this section concerns kinase targets; the non-kinase transfer panel is not analysed here.</w:t>
      </w:r>
    </w:p>
    <w:bookmarkEnd w:id="37"/>
    <w:bookmarkEnd w:id="38"/>
    <w:bookmarkStart w:id="45" w:name="discussion"/>
    <w:p>
      <w:pPr>
        <w:pStyle w:val="Heading1"/>
      </w:pPr>
      <w:r>
        <w:t xml:space="preserve">4 Discussion</w:t>
      </w:r>
    </w:p>
    <w:bookmarkStart w:id="39" w:name="what-the-audit-shows"/>
    <w:p>
      <w:pPr>
        <w:pStyle w:val="Heading2"/>
      </w:pPr>
      <w:r>
        <w:t xml:space="preserve">4.1 What the audit shows</w:t>
      </w:r>
    </w:p>
    <w:p>
      <w:pPr>
        <w:pStyle w:val="FirstParagraph"/>
      </w:pPr>
      <w:r>
        <w:t xml:space="preserve">The central result is that an attention-based binding-site verdict, as a single-run report presents it, is not a stable property of a model recipe. Three retrainings of</w:t>
      </w:r>
      <w:r>
        <w:t xml:space="preserve"> </w:t>
      </w:r>
      <w:r>
        <w:t xml:space="preserve">the same recipe on the same split frequently disagree about whether the map finds annotated residues (11 of 22 cells), the disagreement is usually larger</w:t>
      </w:r>
      <w:r>
        <w:t xml:space="preserve"> </w:t>
      </w:r>
      <w:r>
        <w:t xml:space="preserve">than the effect being claimed (21 of 22), and in 7 to 8 of 22 cells the differences between seeds are significant after correction.</w:t>
      </w:r>
    </w:p>
    <w:p>
      <w:pPr>
        <w:pStyle w:val="BodyText"/>
      </w:pPr>
      <w:r>
        <w:t xml:space="preserve">A single-run figure therefore samples one draw from a wide distribution, and an interval computed over proteins alone does not reflect it. Once chance, ceiling, a</w:t>
      </w:r>
      <w:r>
        <w:t xml:space="preserve"> </w:t>
      </w:r>
      <w:r>
        <w:t xml:space="preserve">uniform floor, a positive control and family-wise correction are applied, residue-level recovery survives in one DAVIS cell and in no KIBA cell.</w:t>
      </w:r>
    </w:p>
    <w:p>
      <w:pPr>
        <w:pStyle w:val="BodyText"/>
      </w:pPr>
      <w:r>
        <w:t xml:space="preserve">What does replicate is coarser. The attention of three of the four models is load-bearing in every seed; XAttn-Ref’s map concentrates in the kinase ATP pocket at</w:t>
      </w:r>
      <w:r>
        <w:t xml:space="preserve"> </w:t>
      </w:r>
      <w:r>
        <w:t xml:space="preserve">every DAVIS level and HyperAttentionDTI’s at three of four; DrugBAN is the exception on both counts. In the vocabulary of Jacovi and Goldberg (2020), these models</w:t>
      </w:r>
      <w:r>
        <w:t xml:space="preserve"> </w:t>
      </w:r>
      <w:r>
        <w:t xml:space="preserve">are faithful without being plausible at the residue level: their predictions depend on the residues they attend to, but those residues are rarely the annotated ones.</w:t>
      </w:r>
      <w:r>
        <w:t xml:space="preserve"> </w:t>
      </w:r>
      <w:r>
        <w:t xml:space="preserve">Pocket enrichment is also the weakest kind of plausibility, because the pocket is conserved across kinases; without a conservation control it cannot be read as</w:t>
      </w:r>
      <w:r>
        <w:t xml:space="preserve"> </w:t>
      </w:r>
      <w:r>
        <w:t xml:space="preserve">learned chemistry. Two further results bear on reporting: for HyperAttentionDTI the verdict depends on how a multi-channel tensor is reduced to one weight per residue, and our</w:t>
      </w:r>
      <w:r>
        <w:t xml:space="preserve"> </w:t>
      </w:r>
      <w:r>
        <w:t xml:space="preserve">primary readout for MolTrans cannot depend on the drug at all (its interaction map can). Accuracy, finally, is no guide to localisation.</w:t>
      </w:r>
    </w:p>
    <w:bookmarkEnd w:id="39"/>
    <w:bookmarkStart w:id="40" w:name="relation-to-prior-work"/>
    <w:p>
      <w:pPr>
        <w:pStyle w:val="Heading2"/>
      </w:pPr>
      <w:r>
        <w:t xml:space="preserve">4.2 Relation to prior work</w:t>
      </w:r>
    </w:p>
    <w:p>
      <w:pPr>
        <w:pStyle w:val="FirstParagraph"/>
      </w:pPr>
      <w:r>
        <w:t xml:space="preserve">Attention has been compared with binding-site annotations in DTI before. MONN (Li et al., 2020) reported that attention-based models, without extra supervision, did</w:t>
      </w:r>
      <w:r>
        <w:t xml:space="preserve"> </w:t>
      </w:r>
      <w:r>
        <w:t xml:space="preserve">not give satisfactory interpretability; ICAN (Kurata and Tsukiyama, 2022) reported that some cross-attention weights match experimental binding sites with statistical</w:t>
      </w:r>
      <w:r>
        <w:t xml:space="preserve"> </w:t>
      </w:r>
      <w:r>
        <w:t xml:space="preserve">significance on DAVIS; and InteractBind (Meng et al., 2026, preprint) found limited localisation despite strong binding prediction across eight models. Our</w:t>
      </w:r>
      <w:r>
        <w:t xml:space="preserve"> </w:t>
      </w:r>
      <w:r>
        <w:t xml:space="preserve">residue-level results are consistent with the first and third. What we add is that the verdict itself is unstable across retrainings, and a battery that states when a</w:t>
      </w:r>
      <w:r>
        <w:t xml:space="preserve"> </w:t>
      </w:r>
      <w:r>
        <w:t xml:space="preserve">single-model significance claim of the kind ICAN reports can be trusted. Two recent audits approach DTI explanations differently: ISAAC (Tarantino et al., 2026,</w:t>
      </w:r>
      <w:r>
        <w:t xml:space="preserve"> </w:t>
      </w:r>
      <w:r>
        <w:t xml:space="preserve">preprint) probes models with matched mechanistic and spurious interventions and reports scores stable across training seeds, and Vefghi et al. (2026, preprint) combine</w:t>
      </w:r>
      <w:r>
        <w:t xml:space="preserve"> </w:t>
      </w:r>
      <w:r>
        <w:t xml:space="preserve">gradient attributions and occlusion on one model and state that this does not substitute for structural ground truth. Ours is complementary: it scores explanations</w:t>
      </w:r>
      <w:r>
        <w:t xml:space="preserve"> </w:t>
      </w:r>
      <w:r>
        <w:t xml:space="preserve">against structural annotations, and for these models the localisation verdicts lack the seed stability ISAAC reports for its intervention scores; whether the two</w:t>
      </w:r>
      <w:r>
        <w:t xml:space="preserve"> </w:t>
      </w:r>
      <w:r>
        <w:t xml:space="preserve">measures would agree on the same models is untested.</w:t>
      </w:r>
    </w:p>
    <w:p>
      <w:pPr>
        <w:pStyle w:val="BodyText"/>
      </w:pPr>
      <w:r>
        <w:t xml:space="preserve">The debate over attention as explanation (Jain and Wallace, 2019; Wiegreffe and Pinter, 2019) asked whether attention weights can be read as importance at all. Our</w:t>
      </w:r>
      <w:r>
        <w:t xml:space="preserve"> </w:t>
      </w:r>
      <w:r>
        <w:t xml:space="preserve">faithfulness results side with the view that they can carry importance, and our plausibility results show that importance and biological correctness are separate</w:t>
      </w:r>
      <w:r>
        <w:t xml:space="preserve"> </w:t>
      </w:r>
      <w:r>
        <w:t xml:space="preserve">questions. The drug-dependence check plays the role that model-randomisation tests play for saliency maps (Adebayo et al., 2018): an explanation that does not change</w:t>
      </w:r>
      <w:r>
        <w:t xml:space="preserve"> </w:t>
      </w:r>
      <w:r>
        <w:t xml:space="preserve">when the input that should matter changes cannot explain that input. On benchmarks, DAVIS’s omission of mutant-kinase modifications (Wu et al., 2025, preprint) and the</w:t>
      </w:r>
      <w:r>
        <w:t xml:space="preserve"> </w:t>
      </w:r>
      <w:r>
        <w:t xml:space="preserve">leakage that permissive kinase splits can reward (Ong et al., 2023, preprint) have precedent; we add a measured effect on DeepDTA’s cold-start accuracy, separated from the loss</w:t>
      </w:r>
      <w:r>
        <w:t xml:space="preserve"> </w:t>
      </w:r>
      <w:r>
        <w:t xml:space="preserve">of training data.</w:t>
      </w:r>
    </w:p>
    <w:bookmarkEnd w:id="40"/>
    <w:bookmarkStart w:id="41" w:name="recommendations"/>
    <w:p>
      <w:pPr>
        <w:pStyle w:val="Heading2"/>
      </w:pPr>
      <w:r>
        <w:t xml:space="preserve">4.3 Recommendations</w:t>
      </w:r>
    </w:p>
    <w:p>
      <w:pPr>
        <w:pStyle w:val="FirstParagraph"/>
      </w:pPr>
      <w:r>
        <w:t xml:space="preserve">The following follow directly from these results (Box 1). (i) Report an explanation from several training runs, with the agreement between them and intervals that resample</w:t>
      </w:r>
      <w:r>
        <w:t xml:space="preserve"> </w:t>
      </w:r>
      <w:r>
        <w:t xml:space="preserve">runs as well as proteins. (ii) Read every hit rate against the protein’s chance level and the ground truth’s ceiling, with a uniform-map floor and a positive control that</w:t>
      </w:r>
      <w:r>
        <w:t xml:space="preserve"> </w:t>
      </w:r>
      <w:r>
        <w:t xml:space="preserve">states the smallest detectable effect. (iii) Correct for multiple comparisons across the family of cells shown. (iv) State the readout: which heads, layers, channels and pooling</w:t>
      </w:r>
      <w:r>
        <w:t xml:space="preserve"> </w:t>
      </w:r>
      <w:r>
        <w:t xml:space="preserve">produce one weight per residue, and which inputs it is a function of. (v) Test faithfulness with a masking control of the same size in the model’s own token space.</w:t>
      </w:r>
      <w:r>
        <w:t xml:space="preserve"> </w:t>
      </w:r>
      <w:r>
        <w:t xml:space="preserve">(vi) Check cold-start splits for sequence identity, not identifier identity. The first and third would most change the conclusions of a single-model report,</w:t>
      </w:r>
      <w:r>
        <w:t xml:space="preserve"> </w:t>
      </w:r>
      <w:r>
        <w:t xml:space="preserve">and both are cheap relative to training.</w:t>
      </w:r>
    </w:p>
    <w:bookmarkEnd w:id="41"/>
    <w:bookmarkStart w:id="42" w:name="limitations"/>
    <w:p>
      <w:pPr>
        <w:pStyle w:val="Heading2"/>
      </w:pPr>
      <w:r>
        <w:t xml:space="preserve">4.4 Limitations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“seed”</w:t>
      </w:r>
      <w:r>
        <w:rPr>
          <w:b/>
          <w:bCs/>
        </w:rPr>
        <w:t xml:space="preserve"> </w:t>
      </w:r>
      <w:r>
        <w:rPr>
          <w:b/>
          <w:bCs/>
        </w:rPr>
        <w:t xml:space="preserve">is a retraining, not a controlled source of variance.</w:t>
      </w:r>
      <w:r>
        <w:t xml:space="preserve"> </w:t>
      </w:r>
      <w:r>
        <w:t xml:space="preserve">We did not separate initialisation from other run-to-run variation. The cloud-harness canary retrained one</w:t>
      </w:r>
      <w:r>
        <w:t xml:space="preserve"> </w:t>
      </w:r>
      <w:r>
        <w:t xml:space="preserve">committed cell (XAttn-Ref, DAVIS cold-target, seed 1) twice with identical initial weights, the same library version and GPU type: test AUROC came out at 0.8868 in one attempt and</w:t>
      </w:r>
      <w:r>
        <w:t xml:space="preserve"> </w:t>
      </w:r>
      <w:r>
        <w:t xml:space="preserve">0.8494 in the other, against the committed 0.8501. The two attempts ran different versions of the harness code but the same training code (docs/canary_attempts/README.md), so this is</w:t>
      </w:r>
      <w:r>
        <w:t xml:space="preserve"> </w:t>
      </w:r>
      <w:r>
        <w:t xml:space="preserve">one pair of runs and not a variance estimate; it does show that fixing the seed does not fix the outcome. Our claim is therefore that verdicts differ between retrainings, which is</w:t>
      </w:r>
      <w:r>
        <w:t xml:space="preserve"> </w:t>
      </w:r>
      <w:r>
        <w:t xml:space="preserve">what a single-run report depends on, and not that initialisation is the cause. We also do not test why the maps disagree.</w:t>
      </w:r>
    </w:p>
    <w:p>
      <w:pPr>
        <w:pStyle w:val="BodyText"/>
      </w:pPr>
      <w:r>
        <w:rPr>
          <w:b/>
          <w:bCs/>
        </w:rPr>
        <w:t xml:space="preserve">Few seeds, and compute not yet run.</w:t>
      </w:r>
      <w:r>
        <w:t xml:space="preserve"> </w:t>
      </w:r>
      <w:r>
        <w:t xml:space="preserve">Three seeds are few for estimating seed instability. Seeds four and five of HyperAttentionDTI, MolTrans and XAttn-Ref, and DrugBAN on KIBA,</w:t>
      </w:r>
      <w:r>
        <w:t xml:space="preserve"> </w:t>
      </w:r>
      <w:r>
        <w:t xml:space="preserve">are planned and declared in a dated protocol amendment but have not been run, and none contributes to any number here; if they are run, the counts above will be recomputed and reported</w:t>
      </w:r>
      <w:r>
        <w:t xml:space="preserve"> </w:t>
      </w:r>
      <w:r>
        <w:t xml:space="preserve">beside, not merged into, the three-seed analysis. KIBA was trained at the random and cold-drug levels only, so every cold-target and cold-pair claim rests on DAVIS alone.</w:t>
      </w:r>
    </w:p>
    <w:p>
      <w:pPr>
        <w:pStyle w:val="BodyText"/>
      </w:pPr>
      <w:r>
        <w:rPr>
          <w:b/>
          <w:bCs/>
        </w:rPr>
        <w:t xml:space="preserve">Ground truth and scope.</w:t>
      </w:r>
      <w:r>
        <w:t xml:space="preserve"> </w:t>
      </w:r>
      <w:r>
        <w:t xml:space="preserve">All claims concern kinases; the non-kinase transfer panel is not analysed. UniProt annotations and the KLIFS pocket are structural ground truths that may be</w:t>
      </w:r>
      <w:r>
        <w:t xml:space="preserve"> </w:t>
      </w:r>
      <w:r>
        <w:t xml:space="preserve">demanding for sequence-only models, and the pocket is the lenient rung, with no conservation control. For each published model we score the readout of our primary analysis; whether it is the</w:t>
      </w:r>
      <w:r>
        <w:t xml:space="preserve"> </w:t>
      </w:r>
      <w:r>
        <w:t xml:space="preserve">map each paper displays has not been confirmed against the papers’ figures, and given Section 3.5 a different primary readout could change a model’s verdict. DrugBAN’s faithfulness values</w:t>
      </w:r>
      <w:r>
        <w:t xml:space="preserve"> </w:t>
      </w:r>
      <w:r>
        <w:t xml:space="preserve">are point estimates without intervals. The permutation nulls and bootstraps treat proteins as independent, although many kinases are related and share both sites and attention; we did not model that dependence, and it could make the p-values and intervals optimistic.</w:t>
      </w:r>
    </w:p>
    <w:p>
      <w:pPr>
        <w:pStyle w:val="BodyText"/>
      </w:pPr>
      <w:r>
        <w:rPr>
          <w:b/>
          <w:bCs/>
        </w:rPr>
        <w:t xml:space="preserve">Design.</w:t>
      </w:r>
      <w:r>
        <w:t xml:space="preserve"> </w:t>
      </w:r>
      <w:r>
        <w:t xml:space="preserve">The Holm families are declared rather than pre-registered. DAVIS’s cold-pair validation split contains seen-by-sequence targets, which may have influenced checkpoint selection and</w:t>
      </w:r>
      <w:r>
        <w:t xml:space="preserve"> </w:t>
      </w:r>
      <w:r>
        <w:t xml:space="preserve">cannot be undone without retraining. XAttn-Ref is the authors’ own model; it was trained and scored identically, and its unfavourable results, including chance-level residue localisation, are reported.</w:t>
      </w:r>
    </w:p>
    <w:bookmarkEnd w:id="42"/>
    <w:bookmarkStart w:id="43" w:name="conclusion"/>
    <w:p>
      <w:pPr>
        <w:pStyle w:val="Heading2"/>
      </w:pPr>
      <w:r>
        <w:t xml:space="preserve">4.5 Conclusion</w:t>
      </w:r>
    </w:p>
    <w:p>
      <w:pPr>
        <w:pStyle w:val="FirstParagraph"/>
      </w:pPr>
      <w:r>
        <w:t xml:space="preserve">For the four attention-based DTI models audited here, a single-seed attention figure cannot carry a residue-level binding-site claim: the verdict changes between retrainings, rarely survives a</w:t>
      </w:r>
      <w:r>
        <w:t xml:space="preserve"> </w:t>
      </w:r>
      <w:r>
        <w:t xml:space="preserve">calibrated test, and depends on the readout. What these maps show reliably is coarser: they are load-bearing for three of the four models and, for two, concentrated in the kinase</w:t>
      </w:r>
      <w:r>
        <w:t xml:space="preserve"> </w:t>
      </w:r>
      <w:r>
        <w:t xml:space="preserve">pocket at most DAVIS levels. Explanation claims in DTI should be reported across runs, against chance and a positive control, with correction and a stated readout, on splits checked for sequence</w:t>
      </w:r>
      <w:r>
        <w:t xml:space="preserve"> </w:t>
      </w:r>
      <w:r>
        <w:t xml:space="preserve">identity.</w:t>
      </w:r>
    </w:p>
    <w:bookmarkEnd w:id="43"/>
    <w:bookmarkStart w:id="44" w:name="X2146f64485659caf194eecf1d94c916695dbfe5"/>
    <w:p>
      <w:pPr>
        <w:pStyle w:val="Heading2"/>
      </w:pPr>
      <w:r>
        <w:t xml:space="preserve">Declarations [placeholders: wording and required items to be matched to the journal template, which is unverified]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Funding:</w:t>
      </w:r>
      <w:r>
        <w:t xml:space="preserve"> </w:t>
      </w:r>
      <w:r>
        <w:t xml:space="preserve">[to be completed by the author]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Conflict of interest:</w:t>
      </w:r>
      <w:r>
        <w:t xml:space="preserve"> </w:t>
      </w:r>
      <w:r>
        <w:t xml:space="preserve">XAttn-Ref is the authors’ own model (Section 2.2); [formal statement to be completed by the author]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and code availability:</w:t>
      </w:r>
      <w:r>
        <w:t xml:space="preserve"> </w:t>
      </w:r>
      <w:r>
        <w:t xml:space="preserve">see the abstract; [archived release DOI and checkpoint location to be added]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Acknowledgements:</w:t>
      </w:r>
      <w:r>
        <w:t xml:space="preserve"> </w:t>
      </w:r>
      <w:r>
        <w:t xml:space="preserve">[to be completed by the author]</w:t>
      </w:r>
    </w:p>
    <w:bookmarkEnd w:id="44"/>
    <w:bookmarkEnd w:id="45"/>
    <w:bookmarkStart w:id="46" w:name="references-v3-working-list"/>
    <w:p>
      <w:pPr>
        <w:pStyle w:val="Heading1"/>
      </w:pPr>
      <w:r>
        <w:t xml:space="preserve">References (v3, working list)</w:t>
      </w:r>
    </w:p>
    <w:p>
      <w:pPr>
        <w:pStyle w:val="Compact"/>
        <w:numPr>
          <w:ilvl w:val="0"/>
          <w:numId w:val="1002"/>
        </w:numPr>
      </w:pPr>
      <w:r>
        <w:t xml:space="preserve">Adebayo, J., Gilmer, J., Muelly, M., Goodfellow, I., Hardt, M., Kim, B. (2018) Sanity Checks for Saliency Maps. Advances in Neural Information Processing Systems (NeurIPS) 2018; arXiv:1810.03292.</w:t>
      </w:r>
    </w:p>
    <w:p>
      <w:pPr>
        <w:pStyle w:val="Compact"/>
        <w:numPr>
          <w:ilvl w:val="0"/>
          <w:numId w:val="1002"/>
        </w:numPr>
      </w:pPr>
      <w:r>
        <w:t xml:space="preserve">Bai, P., Miljković, F., John, B., Lu, H. (2023) Interpretable bilinear attention network with domain adaptation improves drug–target prediction. Nature Machine Intelligence 5, 126-136. doi:10.1038/s42256-022-00605-1</w:t>
      </w:r>
    </w:p>
    <w:p>
      <w:pPr>
        <w:pStyle w:val="Compact"/>
        <w:numPr>
          <w:ilvl w:val="0"/>
          <w:numId w:val="1002"/>
        </w:numPr>
      </w:pPr>
      <w:r>
        <w:t xml:space="preserve">Davis, M. I., Hunt, J. P., Herrgard, S., Ciceri, P., Wodicka, L. M., Pallares, G., Hocker, M., Treiber, D. K., Zarrinkar, P. P. (2011) Comprehensive analysis of kinase inhibitor selectivity. Nature Biotechnology 29, 1046-1051. doi:10.1038/nbt.1990</w:t>
      </w:r>
    </w:p>
    <w:p>
      <w:pPr>
        <w:pStyle w:val="Compact"/>
        <w:numPr>
          <w:ilvl w:val="0"/>
          <w:numId w:val="1002"/>
        </w:numPr>
      </w:pPr>
      <w:r>
        <w:t xml:space="preserve">DeYoung, J., Jain, S., Rajani, N. F., Lehman, E., Xiong, C., Socher, R., Wallace, B. C. (2020) ERASER: A Benchmark to Evaluate Rationalized NLP Models. Proceedings of the 58th Annual Meeting of the Association for Computational Linguistics, 4443-4458. doi:10.18653/v1/2020.acl-main.408</w:t>
      </w:r>
    </w:p>
    <w:p>
      <w:pPr>
        <w:pStyle w:val="Compact"/>
        <w:numPr>
          <w:ilvl w:val="0"/>
          <w:numId w:val="1002"/>
        </w:numPr>
      </w:pPr>
      <w:r>
        <w:t xml:space="preserve">Holm, S. (1979) A simple sequentially rejective multiple test procedure. Scandinavian Journal of Statistics 6, 65–70. JSTOR 4615733.</w:t>
      </w:r>
    </w:p>
    <w:p>
      <w:pPr>
        <w:pStyle w:val="Compact"/>
        <w:numPr>
          <w:ilvl w:val="0"/>
          <w:numId w:val="1002"/>
        </w:numPr>
      </w:pPr>
      <w:r>
        <w:t xml:space="preserve">Huang, K., Xiao, C., Glass, L. M., Sun, J. (2021) MolTrans: Molecular Interaction Transformer for drug–target interaction prediction. Bioinformatics 37, 830-836. doi:10.1093/bioinformatics/btaa880</w:t>
      </w:r>
    </w:p>
    <w:p>
      <w:pPr>
        <w:pStyle w:val="Compact"/>
        <w:numPr>
          <w:ilvl w:val="0"/>
          <w:numId w:val="1002"/>
        </w:numPr>
      </w:pPr>
      <w:r>
        <w:t xml:space="preserve">Jacovi, A., Goldberg, Y. (2020) Towards Faithfully Interpretable NLP Systems: How Should We Define and Evaluate Faithfulness? Proceedings of the 58th Annual Meeting of the Association for Computational Linguistics, 4198-4205. doi:10.18653/v1/2020.acl-main.386</w:t>
      </w:r>
    </w:p>
    <w:p>
      <w:pPr>
        <w:pStyle w:val="Compact"/>
        <w:numPr>
          <w:ilvl w:val="0"/>
          <w:numId w:val="1002"/>
        </w:numPr>
      </w:pPr>
      <w:r>
        <w:t xml:space="preserve">Jain, S., Wallace, B. C. (2019) Attention is not Explanation. Proceedings of the 2019 Conference of the North American Chapter of the Association for Computational Linguistics: Human Language Technologies, Volume 1 (Long and Short Papers), 3543-3556. doi:10.18653/v1/n19-1357</w:t>
      </w:r>
    </w:p>
    <w:p>
      <w:pPr>
        <w:pStyle w:val="Compact"/>
        <w:numPr>
          <w:ilvl w:val="0"/>
          <w:numId w:val="1002"/>
        </w:numPr>
      </w:pPr>
      <w:r>
        <w:t xml:space="preserve">Kanev, G. K., de Graaf, C., Westerman, B. A., de Esch, I. J. P., Kooistra, A. J. (2021) KLIFS: an overhaul after the first 5 years of supporting kinase research. Nucleic Acids Research 49, D562-D569. doi:10.1093/nar/gkaa895</w:t>
      </w:r>
    </w:p>
    <w:p>
      <w:pPr>
        <w:pStyle w:val="Compact"/>
        <w:numPr>
          <w:ilvl w:val="0"/>
          <w:numId w:val="1002"/>
        </w:numPr>
      </w:pPr>
      <w:r>
        <w:t xml:space="preserve">Kurata, H., Tsukiyama, S. (2022) ICAN: Interpretable cross-attention network for identifying drug and target protein interactions. PLOS ONE 17, e0276609. doi:10.1371/journal.pone.0276609</w:t>
      </w:r>
    </w:p>
    <w:p>
      <w:pPr>
        <w:pStyle w:val="Compact"/>
        <w:numPr>
          <w:ilvl w:val="0"/>
          <w:numId w:val="1002"/>
        </w:numPr>
      </w:pPr>
      <w:r>
        <w:t xml:space="preserve">Li, S., Wan, F., Shu, H., Jiang, T., Zhao, D., Zeng, J. (2020) MONN: A Multi-objective Neural Network for Predicting Compound-Protein Interactions and Affinities. Cell Systems 10, 308-322.e11. doi:10.1016/j.cels.2020.03.002</w:t>
      </w:r>
    </w:p>
    <w:p>
      <w:pPr>
        <w:pStyle w:val="Compact"/>
        <w:numPr>
          <w:ilvl w:val="0"/>
          <w:numId w:val="1002"/>
        </w:numPr>
      </w:pPr>
      <w:r>
        <w:t xml:space="preserve">Meng, Z., Bai, Z., Yuan, K., Ounis, I., Meng, Z., Xu, H., Loscalzo, J. (2026) A Large-Scale Dataset and Benchmark: Do Protein-Ligand Models Learn Binding Sites or Just Binding Likelihood? arXiv preprint, arXiv:2605.24045.</w:t>
      </w:r>
      <w:r>
        <w:t xml:space="preserve"> </w:t>
      </w:r>
      <w:r>
        <w:rPr>
          <w:b/>
          <w:bCs/>
        </w:rPr>
        <w:t xml:space="preserve">[preprint]</w:t>
      </w:r>
    </w:p>
    <w:p>
      <w:pPr>
        <w:pStyle w:val="Compact"/>
        <w:numPr>
          <w:ilvl w:val="0"/>
          <w:numId w:val="1002"/>
        </w:numPr>
      </w:pPr>
      <w:r>
        <w:t xml:space="preserve">Ong, W. J. G., Kirubakaran, P., Karanicolas, J. (2023) Poor Generalization by Current Deep Learning Models for Predicting Binding Affinities of Kinase Inhibitors. bioRxiv preprint. doi:10.1101/2023.09.04.556234</w:t>
      </w:r>
      <w:r>
        <w:t xml:space="preserve"> </w:t>
      </w:r>
      <w:r>
        <w:rPr>
          <w:b/>
          <w:bCs/>
        </w:rPr>
        <w:t xml:space="preserve">[preprint]</w:t>
      </w:r>
    </w:p>
    <w:p>
      <w:pPr>
        <w:pStyle w:val="Compact"/>
        <w:numPr>
          <w:ilvl w:val="0"/>
          <w:numId w:val="1002"/>
        </w:numPr>
      </w:pPr>
      <w:r>
        <w:t xml:space="preserve">Öztürk, H., Özgür, A., Ozkirimli, E. (2018) DeepDTA: deep drug–target binding affinity prediction. Bioinformatics 34, i821-i829. doi:10.1093/bioinformatics/bty593</w:t>
      </w:r>
    </w:p>
    <w:p>
      <w:pPr>
        <w:pStyle w:val="Compact"/>
        <w:numPr>
          <w:ilvl w:val="0"/>
          <w:numId w:val="1002"/>
        </w:numPr>
      </w:pPr>
      <w:r>
        <w:t xml:space="preserve">Serrano, S., Smith, N. A. (2019) Is Attention Interpretable? Proceedings of the 57th Annual Meeting of the Association for Computational Linguistics, 2931-2951. doi:10.18653/v1/p19-1282</w:t>
      </w:r>
    </w:p>
    <w:p>
      <w:pPr>
        <w:pStyle w:val="Compact"/>
        <w:numPr>
          <w:ilvl w:val="0"/>
          <w:numId w:val="1002"/>
        </w:numPr>
      </w:pPr>
      <w:r>
        <w:t xml:space="preserve">Sundararajan, M., Taly, A., Yan, Q. (2017) Axiomatic Attribution for Deep Networks. Proceedings of the 34th International Conference on Machine Learning (PMLR 70); arXiv:1703.01365.</w:t>
      </w:r>
    </w:p>
    <w:p>
      <w:pPr>
        <w:pStyle w:val="Compact"/>
        <w:numPr>
          <w:ilvl w:val="0"/>
          <w:numId w:val="1002"/>
        </w:numPr>
      </w:pPr>
      <w:r>
        <w:t xml:space="preserve">Tang, J., Szwajda, A., Shakyawar, S., Xu, T., Hintsanen, P., Wennerberg, K., Aittokallio, T. (2014) Making Sense of Large-Scale Kinase Inhibitor Bioactivity Data Sets: A Comparative and Integrative Analysis. Journal of Chemical Information and Modeling 54, 735-743. doi:10.1021/ci400709d</w:t>
      </w:r>
    </w:p>
    <w:p>
      <w:pPr>
        <w:pStyle w:val="Compact"/>
        <w:numPr>
          <w:ilvl w:val="0"/>
          <w:numId w:val="1002"/>
        </w:numPr>
      </w:pPr>
      <w:r>
        <w:t xml:space="preserve">Tarantino, B., Kim, S., Lu, Y., Giudici, P. (2026) ISAAC: Auditing Causal Reasoning in Deep Models for Drug-Target Interaction. arXiv preprint, arXiv:2605.02962.</w:t>
      </w:r>
      <w:r>
        <w:t xml:space="preserve"> </w:t>
      </w:r>
      <w:r>
        <w:rPr>
          <w:b/>
          <w:bCs/>
        </w:rPr>
        <w:t xml:space="preserve">[preprint]</w:t>
      </w:r>
    </w:p>
    <w:p>
      <w:pPr>
        <w:pStyle w:val="Compact"/>
        <w:numPr>
          <w:ilvl w:val="0"/>
          <w:numId w:val="1002"/>
        </w:numPr>
      </w:pPr>
      <w:r>
        <w:t xml:space="preserve">The UniProt Consortium (2025) UniProt: the Universal Protein Knowledgebase in 2025. Nucleic Acids Research 53, D609-D617. doi:10.1093/nar/gkae1010</w:t>
      </w:r>
    </w:p>
    <w:p>
      <w:pPr>
        <w:pStyle w:val="Compact"/>
        <w:numPr>
          <w:ilvl w:val="0"/>
          <w:numId w:val="1002"/>
        </w:numPr>
      </w:pPr>
      <w:r>
        <w:t xml:space="preserve">van Linden, O. P. J., Kooistra, A. J., Leurs, R., de Esch, I. J. P., de Graaf, C. (2014) KLIFS: A Knowledge-Based Structural Database To Navigate Kinase–Ligand Interaction Space. Journal of Medicinal Chemistry 57, 249-277. doi:10.1021/jm400378w</w:t>
      </w:r>
    </w:p>
    <w:p>
      <w:pPr>
        <w:pStyle w:val="Compact"/>
        <w:numPr>
          <w:ilvl w:val="0"/>
          <w:numId w:val="1002"/>
        </w:numPr>
      </w:pPr>
      <w:r>
        <w:t xml:space="preserve">Vefghi, A., Rahmati, Z., Akbari, M. (2026) Where Black-box Drug-Target Interaction Prediction Models Look: Cross-Method Explainability. arXiv preprint, arXiv:2606.14245.</w:t>
      </w:r>
      <w:r>
        <w:t xml:space="preserve"> </w:t>
      </w:r>
      <w:r>
        <w:rPr>
          <w:b/>
          <w:bCs/>
        </w:rPr>
        <w:t xml:space="preserve">[preprint]</w:t>
      </w:r>
    </w:p>
    <w:p>
      <w:pPr>
        <w:pStyle w:val="Compact"/>
        <w:numPr>
          <w:ilvl w:val="0"/>
          <w:numId w:val="1002"/>
        </w:numPr>
      </w:pPr>
      <w:r>
        <w:t xml:space="preserve">Wiegreffe, S., Pinter, Y. (2019) Attention is not not Explanation. Proceedings of the 2019 Conference on Empirical Methods in Natural Language Processing and the 9th International Joint Conference on Natural Language Processing (EMNLP-IJCNLP), 11-20. doi:10.18653/v1/d19-1002</w:t>
      </w:r>
    </w:p>
    <w:p>
      <w:pPr>
        <w:pStyle w:val="Compact"/>
        <w:numPr>
          <w:ilvl w:val="0"/>
          <w:numId w:val="1002"/>
        </w:numPr>
      </w:pPr>
      <w:r>
        <w:t xml:space="preserve">Wu, M.-H., Xie, Z., Ji, S., Zhi, D. (2025) Towards Precision Protein-Ligand Affinity Prediction Benchmark: A Complete and Modification-Aware DAVIS Dataset. arXiv preprint, arXiv:2512.00708.</w:t>
      </w:r>
      <w:r>
        <w:t xml:space="preserve"> </w:t>
      </w:r>
      <w:r>
        <w:rPr>
          <w:b/>
          <w:bCs/>
        </w:rPr>
        <w:t xml:space="preserve">[preprint]</w:t>
      </w:r>
    </w:p>
    <w:p>
      <w:pPr>
        <w:pStyle w:val="Compact"/>
        <w:numPr>
          <w:ilvl w:val="0"/>
          <w:numId w:val="1002"/>
        </w:numPr>
      </w:pPr>
      <w:r>
        <w:t xml:space="preserve">Xiong, A., Luo, Z., Xia, Y., Zou, Q., Wei, L., Zhang, Z., Wang, T., Wei, L., Cui, F. (2025) An interpretable geometric graph neural network for enhancing the generalizability of drug–target interaction prediction. BMC Biology 23, 350. doi:10.1186/s12915-025-02456-9</w:t>
      </w:r>
    </w:p>
    <w:p>
      <w:pPr>
        <w:pStyle w:val="Compact"/>
        <w:numPr>
          <w:ilvl w:val="0"/>
          <w:numId w:val="1002"/>
        </w:numPr>
      </w:pPr>
      <w:r>
        <w:t xml:space="preserve">Zhao, Q., Zhao, H., Zheng, K., Wang, J. (2022) HyperAttentionDTI: improving drug–protein interaction prediction by sequence-based deep learning with attention mechanism. Bioinformatics 38, 655-662. doi:10.1093/bioinformatics/btab715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2026-10-17T11:07:22Z</dcterms:created>
  <dcterms:modified xsi:type="dcterms:W3CDTF">2026-10-17T11:07:22Z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