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1E2761"/>
          <w:sz w:val="52"/>
        </w:rPr>
        <w:t>AI-Powered Student Career &amp; Placement Analytics</w:t>
      </w:r>
    </w:p>
    <w:p>
      <w:pPr>
        <w:spacing w:after="240"/>
        <w:jc w:val="left"/>
      </w:pPr>
      <w:r>
        <w:rPr>
          <w:i/>
          <w:color w:val="57606A"/>
          <w:sz w:val="26"/>
        </w:rPr>
        <w:t>Data Foundation, EDA and Dashboard Implementation Report</w:t>
      </w:r>
    </w:p>
    <w:p>
      <w:pPr>
        <w:pBdr>
          <w:bottom w:val="single" w:sz="6" w:space="1" w:color="3B82D4"/>
        </w:pBdr>
        <w:spacing w:before="0" w:after="120"/>
      </w:pPr>
    </w:p>
    <w:tbl>
      <w:tblPr>
        <w:tblStyle w:val="TableGrid"/>
        <w:tblW w:type="auto" w:w="0"/>
        <w:tblLook w:firstColumn="1" w:firstRow="1" w:lastColumn="0" w:lastRow="0" w:noHBand="0" w:noVBand="1" w:val="04A0"/>
      </w:tblPr>
      <w:tblGrid>
        <w:gridCol w:w="4561"/>
        <w:gridCol w:w="4561"/>
      </w:tblGrid>
      <w:tr>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tcPr>
          <w:p>
            <w:pPr>
              <w:spacing w:before="60" w:after="60"/>
            </w:pPr>
            <w:r>
              <w:rPr>
                <w:b/>
                <w:color w:val="57606A"/>
                <w:sz w:val="19"/>
              </w:rPr>
              <w:t>Dataset</w:t>
            </w:r>
          </w:p>
        </w:tc>
        <w:tc>
          <w:tcPr>
            <w:tcW w:type="dxa" w:w="6803"/>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tcPr>
          <w:p>
            <w:pPr>
              <w:spacing w:before="60" w:after="60"/>
            </w:pPr>
            <w:r>
              <w:rPr>
                <w:sz w:val="19"/>
              </w:rPr>
              <w:t>Indian_Student_Placement_Dataset_2025.csv</w:t>
            </w:r>
          </w:p>
        </w:tc>
      </w:tr>
      <w:tr>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tcPr>
          <w:p>
            <w:pPr>
              <w:spacing w:before="60" w:after="60"/>
            </w:pPr>
            <w:r>
              <w:rPr>
                <w:b/>
                <w:color w:val="57606A"/>
                <w:sz w:val="19"/>
              </w:rPr>
              <w:t>Records</w:t>
            </w:r>
          </w:p>
        </w:tc>
        <w:tc>
          <w:tcPr>
            <w:tcW w:type="dxa" w:w="6803"/>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tcPr>
          <w:p>
            <w:pPr>
              <w:spacing w:before="60" w:after="60"/>
            </w:pPr>
            <w:r>
              <w:rPr>
                <w:sz w:val="19"/>
              </w:rPr>
              <w:t>12,000 students</w:t>
            </w:r>
          </w:p>
        </w:tc>
      </w:tr>
      <w:tr>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tcPr>
          <w:p>
            <w:pPr>
              <w:spacing w:before="60" w:after="60"/>
            </w:pPr>
            <w:r>
              <w:rPr>
                <w:b/>
                <w:color w:val="57606A"/>
                <w:sz w:val="19"/>
              </w:rPr>
              <w:t>Target</w:t>
            </w:r>
          </w:p>
        </w:tc>
        <w:tc>
          <w:tcPr>
            <w:tcW w:type="dxa" w:w="6803"/>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tcPr>
          <w:p>
            <w:pPr>
              <w:spacing w:before="60" w:after="60"/>
            </w:pPr>
            <w:r>
              <w:rPr>
                <w:sz w:val="19"/>
              </w:rPr>
              <w:t>placed  (0 = Not Placed, 1 = Placed)</w:t>
            </w:r>
          </w:p>
        </w:tc>
      </w:tr>
      <w:tr>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tcPr>
          <w:p>
            <w:pPr>
              <w:spacing w:before="60" w:after="60"/>
            </w:pPr>
            <w:r>
              <w:rPr>
                <w:b/>
                <w:color w:val="57606A"/>
                <w:sz w:val="19"/>
              </w:rPr>
              <w:t>Tool</w:t>
            </w:r>
          </w:p>
        </w:tc>
        <w:tc>
          <w:tcPr>
            <w:tcW w:type="dxa" w:w="6803"/>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tcPr>
          <w:p>
            <w:pPr>
              <w:spacing w:before="60" w:after="60"/>
            </w:pPr>
            <w:r>
              <w:rPr>
                <w:sz w:val="19"/>
              </w:rPr>
              <w:t>Python 3.13 · Streamlit 1.64 · Plotly 7.1 · Pandas 2.3 · SciPy 1.16</w:t>
            </w:r>
          </w:p>
        </w:tc>
      </w:tr>
      <w:tr>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tcPr>
          <w:p>
            <w:pPr>
              <w:spacing w:before="60" w:after="60"/>
            </w:pPr>
            <w:r>
              <w:rPr>
                <w:b/>
                <w:color w:val="57606A"/>
                <w:sz w:val="19"/>
              </w:rPr>
              <w:t>Year</w:t>
            </w:r>
          </w:p>
        </w:tc>
        <w:tc>
          <w:tcPr>
            <w:tcW w:type="dxa" w:w="6803"/>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tcPr>
          <w:p>
            <w:pPr>
              <w:spacing w:before="60" w:after="60"/>
            </w:pPr>
            <w:r>
              <w:rPr>
                <w:sz w:val="19"/>
              </w:rPr>
              <w:t>2025</w:t>
            </w:r>
          </w:p>
        </w:tc>
      </w:tr>
    </w:tbl>
    <w:p/>
    <w:p>
      <w:pPr>
        <w:spacing w:before="280" w:after="120"/>
      </w:pPr>
      <w:r>
        <w:rPr>
          <w:b/>
          <w:color w:val="1E2761"/>
          <w:sz w:val="40"/>
        </w:rPr>
        <w:t>1.  Executive Summary</w:t>
      </w:r>
    </w:p>
    <w:p>
      <w:pPr>
        <w:spacing w:before="60" w:after="100"/>
      </w:pPr>
      <w:r>
        <w:rPr>
          <w:sz w:val="21"/>
        </w:rPr>
        <w:t>This project delivers a complete AI-powered analytics platform for understanding student placement outcomes. The pipeline covers three phases: (1) data cleaning and validation of a 12,000-student dataset, (2) exploratory data analysis revealing a deterministic three-factor placement rule, and (3) a six-page interactive Streamlit dashboard with per-student assessment and data-driven career guidance. All findings are grounded in the dataset; no synthetic data or unsupported claims are used.</w:t>
      </w:r>
    </w:p>
    <w:p>
      <w:pPr>
        <w:spacing w:before="280" w:after="120"/>
      </w:pPr>
      <w:r>
        <w:rPr>
          <w:b/>
          <w:color w:val="1E2761"/>
          <w:sz w:val="40"/>
        </w:rPr>
        <w:t>2.  Dataset &amp; Data Cleaning</w:t>
      </w:r>
    </w:p>
    <w:p>
      <w:pPr>
        <w:spacing w:before="60" w:after="100"/>
      </w:pPr>
      <w:r>
        <w:rPr>
          <w:sz w:val="21"/>
        </w:rPr>
        <w:t>The source file Indian_Student_Placement_Dataset_2025.csv contains 12,000 rows and 16 columns. A cleaned analysis file student_placement_clean.csv was produced by removing the two outcome-only fields (company_type, package_lpa) to prevent data leakage in any predictive analysis.</w:t>
      </w:r>
    </w:p>
    <w:p/>
    <w:p>
      <w:pPr>
        <w:spacing w:before="200" w:after="120"/>
      </w:pPr>
      <w:r>
        <w:rPr>
          <w:b/>
          <w:color w:val="1E2761"/>
          <w:sz w:val="32"/>
        </w:rPr>
        <w:t>Data Quality Checks</w:t>
      </w:r>
    </w:p>
    <w:tbl>
      <w:tblPr>
        <w:tblStyle w:val="TableGrid"/>
        <w:tblW w:type="auto" w:w="0"/>
        <w:jc w:val="left"/>
        <w:tblLook w:firstColumn="1" w:firstRow="1" w:lastColumn="0" w:lastRow="0" w:noHBand="0" w:noVBand="1" w:val="04A0"/>
      </w:tblPr>
      <w:tblGrid>
        <w:gridCol w:w="3041"/>
        <w:gridCol w:w="3041"/>
        <w:gridCol w:w="3041"/>
      </w:tblGrid>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Check</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Result</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Detail</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Missing values</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0</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Across all 16 columns</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Duplicate student_id</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0</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All IDs unique</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Fully duplicate rows</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0</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Numeric range violations</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0</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All columns within valid bounds</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Cross-field consistency</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0 issues</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placed / company_type / package_lpa perfectly consistent</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Class balance</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30.4% / 69.6%</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3,652 placed · 8,348 not placed</w:t>
            </w:r>
          </w:p>
        </w:tc>
      </w:tr>
    </w:tbl>
    <w:p/>
    <w:p>
      <w:pPr>
        <w:spacing w:before="200" w:after="120"/>
      </w:pPr>
      <w:r>
        <w:rPr>
          <w:b/>
          <w:color w:val="1E2761"/>
          <w:sz w:val="32"/>
        </w:rPr>
        <w:t>Feature Columns Retained for Analysis  (14 total)</w:t>
      </w:r>
    </w:p>
    <w:tbl>
      <w:tblPr>
        <w:tblStyle w:val="TableGrid"/>
        <w:tblW w:type="auto" w:w="0"/>
        <w:jc w:val="left"/>
        <w:tblLook w:firstColumn="1" w:firstRow="1" w:lastColumn="0" w:lastRow="0" w:noHBand="0" w:noVBand="1" w:val="04A0"/>
      </w:tblPr>
      <w:tblGrid>
        <w:gridCol w:w="3041"/>
        <w:gridCol w:w="3041"/>
        <w:gridCol w:w="3041"/>
      </w:tblGrid>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Column</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Type</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Range / Domain</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student_id</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Identifier</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1 – 12,000  (excluded from analysis)</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cgpa</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Continuous</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5.50 – 9.80</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aptitude_score</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Integer</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40 – 99</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coding_skills</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Integer</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1 – 10</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communication_skills</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Integer</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1 – 10</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internships</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Integer</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0 – 3</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certifications</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Integer</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0 – 5</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projects</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Integer</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0 – 5</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backlogs</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Integer</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0 – 3</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degree</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Categorical</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BE, BTech, BCA, BSc</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branch</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Categorical</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CS, IT, DS, AI, Electrical, Mechanical</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gender</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Categorical</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Male, Female</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age</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Integer</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20 – 24</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placed</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Binary target</w:t>
            </w:r>
          </w:p>
        </w:tc>
        <w:tc>
          <w:tcPr>
            <w:tcW w:type="dxa" w:w="4819"/>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0 = Not Placed, 1 = Placed</w:t>
            </w:r>
          </w:p>
        </w:tc>
      </w:tr>
    </w:tbl>
    <w:p/>
    <w:p>
      <w:pPr>
        <w:spacing w:before="280" w:after="120"/>
      </w:pPr>
      <w:r>
        <w:rPr>
          <w:b/>
          <w:color w:val="1E2761"/>
          <w:sz w:val="40"/>
        </w:rPr>
        <w:t>3.  Exploratory Data Analysis — Key Findings</w:t>
      </w:r>
    </w:p>
    <w:p>
      <w:pPr>
        <w:spacing w:before="200" w:after="120"/>
      </w:pPr>
      <w:r>
        <w:rPr>
          <w:b/>
          <w:color w:val="1E2761"/>
          <w:sz w:val="32"/>
        </w:rPr>
        <w:t>3.1  Placement Outcome</w:t>
      </w:r>
    </w:p>
    <w:p>
      <w:pPr>
        <w:spacing w:before="60" w:after="100"/>
      </w:pPr>
      <w:r>
        <w:rPr>
          <w:sz w:val="21"/>
        </w:rPr>
        <w:t>30.4% of students (3,652) are placed; 69.6% (8,348) are not placed. The class imbalance ratio is approximately 2.3:1.</w:t>
      </w:r>
    </w:p>
    <w:p>
      <w:pPr>
        <w:spacing w:before="200" w:after="120"/>
      </w:pPr>
      <w:r>
        <w:rPr>
          <w:b/>
          <w:color w:val="1E2761"/>
          <w:sz w:val="32"/>
        </w:rPr>
        <w:t>3.2  Deterministic Placement Rule (100% Accuracy)</w:t>
      </w:r>
    </w:p>
    <w:p>
      <w:pPr>
        <w:spacing w:before="60" w:after="100"/>
      </w:pPr>
      <w:r>
        <w:rPr>
          <w:sz w:val="21"/>
        </w:rPr>
        <w:t>The single most important finding: a three-factor rule perfectly classifies all 12,000 students with zero errors:</w:t>
      </w:r>
    </w:p>
    <w:p>
      <w:pPr>
        <w:pBdr>
          <w:left w:val="single" w:sz="12" w:space="4" w:color="3B82D4"/>
        </w:pBdr>
        <w:shd w:val="clear" w:color="auto" w:fill="EFF6FF"/>
        <w:spacing w:before="120" w:after="120"/>
        <w:ind w:left="567"/>
      </w:pPr>
      <w:r>
        <w:rPr>
          <w:rFonts w:ascii="Courier New" w:hAnsi="Courier New"/>
          <w:b/>
          <w:color w:val="1E2761"/>
          <w:sz w:val="22"/>
        </w:rPr>
        <w:t>coding_skills &gt;= 5  AND  aptitude_score &gt;= 60  AND  cgpa &gt;= 6.5  →  placed = 1</w:t>
      </w:r>
    </w:p>
    <w:p>
      <w:pPr>
        <w:spacing w:before="60" w:after="100"/>
      </w:pPr>
      <w:r>
        <w:rPr>
          <w:sz w:val="21"/>
        </w:rPr>
        <w:t>Students missing any one condition have a placement rate of exactly 0%. Students meeting all three are placed 100% of the time in this dataset. No other features add predictive power once these three conditions are met.</w:t>
      </w:r>
    </w:p>
    <w:p>
      <w:pPr>
        <w:spacing w:before="200" w:after="120"/>
      </w:pPr>
      <w:r>
        <w:rPr>
          <w:b/>
          <w:color w:val="1E2761"/>
          <w:sz w:val="32"/>
        </w:rPr>
        <w:t>3.3  Feature Correlation with Placement</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tcPr>
          <w:p>
            <w:pPr>
              <w:spacing w:before="60" w:after="60"/>
            </w:pPr>
            <w:r>
              <w:rPr>
                <w:b/>
                <w:color w:val="FFFFFF"/>
                <w:sz w:val="19"/>
              </w:rPr>
              <w:t>Feature</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tcPr>
          <w:p>
            <w:pPr>
              <w:spacing w:before="60" w:after="60"/>
            </w:pPr>
            <w:r>
              <w:rPr>
                <w:b/>
                <w:color w:val="FFFFFF"/>
                <w:sz w:val="19"/>
              </w:rPr>
              <w:t>r (point-biserial)</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tcPr>
          <w:p>
            <w:pPr>
              <w:spacing w:before="60" w:after="60"/>
            </w:pPr>
            <w:r>
              <w:rPr>
                <w:b/>
                <w:color w:val="FFFFFF"/>
                <w:sz w:val="19"/>
              </w:rPr>
              <w:t>p-value</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tcPr>
          <w:p>
            <w:pPr>
              <w:spacing w:before="60" w:after="60"/>
            </w:pPr>
            <w:r>
              <w:rPr>
                <w:b/>
                <w:color w:val="FFFFFF"/>
                <w:sz w:val="19"/>
              </w:rPr>
              <w:t>Significant?</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D1FAE5"/>
          </w:tcPr>
          <w:p>
            <w:pPr>
              <w:spacing w:before="60" w:after="60"/>
            </w:pPr>
            <w:r>
              <w:rPr>
                <w:b w:val="0"/>
                <w:color w:val="065F46"/>
                <w:sz w:val="19"/>
              </w:rPr>
              <w:t>coding_skills</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D1FAE5"/>
          </w:tcPr>
          <w:p>
            <w:pPr>
              <w:spacing w:before="60" w:after="60"/>
            </w:pPr>
            <w:r>
              <w:rPr>
                <w:b w:val="0"/>
                <w:color w:val="065F46"/>
                <w:sz w:val="19"/>
              </w:rPr>
              <w:t>+0.463</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D1FAE5"/>
          </w:tcPr>
          <w:p>
            <w:pPr>
              <w:spacing w:before="60" w:after="60"/>
            </w:pPr>
            <w:r>
              <w:rPr>
                <w:b w:val="0"/>
                <w:color w:val="065F46"/>
                <w:sz w:val="19"/>
              </w:rPr>
              <w:t>&lt; 0.001</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D1FAE5"/>
          </w:tcPr>
          <w:p>
            <w:pPr>
              <w:spacing w:before="60" w:after="60"/>
            </w:pPr>
            <w:r>
              <w:rPr>
                <w:b w:val="0"/>
                <w:color w:val="065F46"/>
                <w:sz w:val="19"/>
              </w:rPr>
              <w:t>Yes  ***</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ECFDF5"/>
          </w:tcPr>
          <w:p>
            <w:pPr>
              <w:spacing w:before="60" w:after="60"/>
            </w:pPr>
            <w:r>
              <w:rPr>
                <w:b w:val="0"/>
                <w:color w:val="065F46"/>
                <w:sz w:val="19"/>
              </w:rPr>
              <w:t>aptitude_score</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ECFDF5"/>
          </w:tcPr>
          <w:p>
            <w:pPr>
              <w:spacing w:before="60" w:after="60"/>
            </w:pPr>
            <w:r>
              <w:rPr>
                <w:b w:val="0"/>
                <w:color w:val="065F46"/>
                <w:sz w:val="19"/>
              </w:rPr>
              <w:t>+0.390</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ECFDF5"/>
          </w:tcPr>
          <w:p>
            <w:pPr>
              <w:spacing w:before="60" w:after="60"/>
            </w:pPr>
            <w:r>
              <w:rPr>
                <w:b w:val="0"/>
                <w:color w:val="065F46"/>
                <w:sz w:val="19"/>
              </w:rPr>
              <w:t>&lt; 0.001</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ECFDF5"/>
          </w:tcPr>
          <w:p>
            <w:pPr>
              <w:spacing w:before="60" w:after="60"/>
            </w:pPr>
            <w:r>
              <w:rPr>
                <w:b w:val="0"/>
                <w:color w:val="065F46"/>
                <w:sz w:val="19"/>
              </w:rPr>
              <w:t>Yes  ***</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D1FAE5"/>
          </w:tcPr>
          <w:p>
            <w:pPr>
              <w:spacing w:before="60" w:after="60"/>
            </w:pPr>
            <w:r>
              <w:rPr>
                <w:b w:val="0"/>
                <w:color w:val="065F46"/>
                <w:sz w:val="19"/>
              </w:rPr>
              <w:t>cgpa</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D1FAE5"/>
          </w:tcPr>
          <w:p>
            <w:pPr>
              <w:spacing w:before="60" w:after="60"/>
            </w:pPr>
            <w:r>
              <w:rPr>
                <w:b w:val="0"/>
                <w:color w:val="065F46"/>
                <w:sz w:val="19"/>
              </w:rPr>
              <w:t>+0.265</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D1FAE5"/>
          </w:tcPr>
          <w:p>
            <w:pPr>
              <w:spacing w:before="60" w:after="60"/>
            </w:pPr>
            <w:r>
              <w:rPr>
                <w:b w:val="0"/>
                <w:color w:val="065F46"/>
                <w:sz w:val="19"/>
              </w:rPr>
              <w:t>&lt; 0.001</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D1FAE5"/>
          </w:tcPr>
          <w:p>
            <w:pPr>
              <w:spacing w:before="60" w:after="60"/>
            </w:pPr>
            <w:r>
              <w:rPr>
                <w:b w:val="0"/>
                <w:color w:val="065F46"/>
                <w:sz w:val="19"/>
              </w:rPr>
              <w:t>Yes  ***</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EF3C7"/>
          </w:tcPr>
          <w:p>
            <w:pPr>
              <w:spacing w:before="60" w:after="60"/>
            </w:pPr>
            <w:r>
              <w:rPr>
                <w:b w:val="0"/>
                <w:color w:val="92400E"/>
                <w:sz w:val="19"/>
              </w:rPr>
              <w:t>projects</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EF3C7"/>
          </w:tcPr>
          <w:p>
            <w:pPr>
              <w:spacing w:before="60" w:after="60"/>
            </w:pPr>
            <w:r>
              <w:rPr>
                <w:b w:val="0"/>
                <w:color w:val="92400E"/>
                <w:sz w:val="19"/>
              </w:rPr>
              <w:t>-0.023</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EF3C7"/>
          </w:tcPr>
          <w:p>
            <w:pPr>
              <w:spacing w:before="60" w:after="60"/>
            </w:pPr>
            <w:r>
              <w:rPr>
                <w:b w:val="0"/>
                <w:color w:val="92400E"/>
                <w:sz w:val="19"/>
              </w:rPr>
              <w:t>0.014</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EF3C7"/>
          </w:tcPr>
          <w:p>
            <w:pPr>
              <w:spacing w:before="60" w:after="60"/>
            </w:pPr>
            <w:r>
              <w:rPr>
                <w:b w:val="0"/>
                <w:color w:val="92400E"/>
                <w:sz w:val="19"/>
              </w:rPr>
              <w:t>Yes * (marginal)</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tcPr>
          <w:p>
            <w:pPr>
              <w:spacing w:before="60" w:after="60"/>
            </w:pPr>
            <w:r>
              <w:rPr>
                <w:b w:val="0"/>
                <w:color w:val="57606A"/>
                <w:sz w:val="19"/>
              </w:rPr>
              <w:t>internships</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tcPr>
          <w:p>
            <w:pPr>
              <w:spacing w:before="60" w:after="60"/>
            </w:pPr>
            <w:r>
              <w:rPr>
                <w:b w:val="0"/>
                <w:color w:val="57606A"/>
                <w:sz w:val="19"/>
              </w:rPr>
              <w:t>+0.017</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tcPr>
          <w:p>
            <w:pPr>
              <w:spacing w:before="60" w:after="60"/>
            </w:pPr>
            <w:r>
              <w:rPr>
                <w:b w:val="0"/>
                <w:color w:val="57606A"/>
                <w:sz w:val="19"/>
              </w:rPr>
              <w:t>0.070</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tcPr>
          <w:p>
            <w:pPr>
              <w:spacing w:before="60" w:after="60"/>
            </w:pPr>
            <w:r>
              <w:rPr>
                <w:b w:val="0"/>
                <w:color w:val="57606A"/>
                <w:sz w:val="19"/>
              </w:rPr>
              <w:t>No</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tcPr>
          <w:p>
            <w:pPr>
              <w:spacing w:before="60" w:after="60"/>
            </w:pPr>
            <w:r>
              <w:rPr>
                <w:b w:val="0"/>
                <w:color w:val="57606A"/>
                <w:sz w:val="19"/>
              </w:rPr>
              <w:t>certifications</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tcPr>
          <w:p>
            <w:pPr>
              <w:spacing w:before="60" w:after="60"/>
            </w:pPr>
            <w:r>
              <w:rPr>
                <w:b w:val="0"/>
                <w:color w:val="57606A"/>
                <w:sz w:val="19"/>
              </w:rPr>
              <w:t>+0.007</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tcPr>
          <w:p>
            <w:pPr>
              <w:spacing w:before="60" w:after="60"/>
            </w:pPr>
            <w:r>
              <w:rPr>
                <w:b w:val="0"/>
                <w:color w:val="57606A"/>
                <w:sz w:val="19"/>
              </w:rPr>
              <w:t>0.457</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tcPr>
          <w:p>
            <w:pPr>
              <w:spacing w:before="60" w:after="60"/>
            </w:pPr>
            <w:r>
              <w:rPr>
                <w:b w:val="0"/>
                <w:color w:val="57606A"/>
                <w:sz w:val="19"/>
              </w:rPr>
              <w:t>No</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tcPr>
          <w:p>
            <w:pPr>
              <w:spacing w:before="60" w:after="60"/>
            </w:pPr>
            <w:r>
              <w:rPr>
                <w:b w:val="0"/>
                <w:color w:val="57606A"/>
                <w:sz w:val="19"/>
              </w:rPr>
              <w:t>communication_skills</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tcPr>
          <w:p>
            <w:pPr>
              <w:spacing w:before="60" w:after="60"/>
            </w:pPr>
            <w:r>
              <w:rPr>
                <w:b w:val="0"/>
                <w:color w:val="57606A"/>
                <w:sz w:val="19"/>
              </w:rPr>
              <w:t>-0.006</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tcPr>
          <w:p>
            <w:pPr>
              <w:spacing w:before="60" w:after="60"/>
            </w:pPr>
            <w:r>
              <w:rPr>
                <w:b w:val="0"/>
                <w:color w:val="57606A"/>
                <w:sz w:val="19"/>
              </w:rPr>
              <w:t>0.545</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tcPr>
          <w:p>
            <w:pPr>
              <w:spacing w:before="60" w:after="60"/>
            </w:pPr>
            <w:r>
              <w:rPr>
                <w:b w:val="0"/>
                <w:color w:val="57606A"/>
                <w:sz w:val="19"/>
              </w:rPr>
              <w:t>No</w:t>
            </w:r>
          </w:p>
        </w:tc>
      </w:tr>
      <w:tr>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tcPr>
          <w:p>
            <w:pPr>
              <w:spacing w:before="60" w:after="60"/>
            </w:pPr>
            <w:r>
              <w:rPr>
                <w:b w:val="0"/>
                <w:color w:val="57606A"/>
                <w:sz w:val="19"/>
              </w:rPr>
              <w:t>backlogs</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tcPr>
          <w:p>
            <w:pPr>
              <w:spacing w:before="60" w:after="60"/>
            </w:pPr>
            <w:r>
              <w:rPr>
                <w:b w:val="0"/>
                <w:color w:val="57606A"/>
                <w:sz w:val="19"/>
              </w:rPr>
              <w:t>-0.001</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tcPr>
          <w:p>
            <w:pPr>
              <w:spacing w:before="60" w:after="60"/>
            </w:pPr>
            <w:r>
              <w:rPr>
                <w:b w:val="0"/>
                <w:color w:val="57606A"/>
                <w:sz w:val="19"/>
              </w:rPr>
              <w:t>0.940</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tcPr>
          <w:p>
            <w:pPr>
              <w:spacing w:before="60" w:after="60"/>
            </w:pPr>
            <w:r>
              <w:rPr>
                <w:b w:val="0"/>
                <w:color w:val="57606A"/>
                <w:sz w:val="19"/>
              </w:rPr>
              <w:t>No</w:t>
            </w:r>
          </w:p>
        </w:tc>
      </w:tr>
    </w:tbl>
    <w:p/>
    <w:p>
      <w:pPr>
        <w:spacing w:before="200" w:after="120"/>
      </w:pPr>
      <w:r>
        <w:rPr>
          <w:b/>
          <w:color w:val="1E2761"/>
          <w:sz w:val="32"/>
        </w:rPr>
        <w:t>3.4  Mean Feature Values: Placed vs Not Placed</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311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Feature</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Placed Mean</w:t>
            </w:r>
          </w:p>
        </w:tc>
        <w:tc>
          <w:tcPr>
            <w:tcW w:type="dxa" w:w="255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Not-Placed Mean</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Gap (P − NP)</w:t>
            </w:r>
          </w:p>
        </w:tc>
      </w:tr>
      <w:tr>
        <w:tc>
          <w:tcPr>
            <w:tcW w:type="dxa" w:w="311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cgpa</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8.144</w:t>
            </w:r>
          </w:p>
        </w:tc>
        <w:tc>
          <w:tcPr>
            <w:tcW w:type="dxa" w:w="255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7.427</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+0.717</w:t>
            </w:r>
          </w:p>
        </w:tc>
      </w:tr>
      <w:tr>
        <w:tc>
          <w:tcPr>
            <w:tcW w:type="dxa" w:w="311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aptitude_score</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79.55</w:t>
            </w:r>
          </w:p>
        </w:tc>
        <w:tc>
          <w:tcPr>
            <w:tcW w:type="dxa" w:w="255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64.86</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+14.70</w:t>
            </w:r>
          </w:p>
        </w:tc>
      </w:tr>
      <w:tr>
        <w:tc>
          <w:tcPr>
            <w:tcW w:type="dxa" w:w="311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coding_skills</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7.516</w:t>
            </w:r>
          </w:p>
        </w:tc>
        <w:tc>
          <w:tcPr>
            <w:tcW w:type="dxa" w:w="255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4.611</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+2.905</w:t>
            </w:r>
          </w:p>
        </w:tc>
      </w:tr>
      <w:tr>
        <w:tc>
          <w:tcPr>
            <w:tcW w:type="dxa" w:w="311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communication_skills</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5.476</w:t>
            </w:r>
          </w:p>
        </w:tc>
        <w:tc>
          <w:tcPr>
            <w:tcW w:type="dxa" w:w="255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5.511</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-0.035</w:t>
            </w:r>
          </w:p>
        </w:tc>
      </w:tr>
      <w:tr>
        <w:tc>
          <w:tcPr>
            <w:tcW w:type="dxa" w:w="311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internships</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1.529</w:t>
            </w:r>
          </w:p>
        </w:tc>
        <w:tc>
          <w:tcPr>
            <w:tcW w:type="dxa" w:w="255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1.489</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+0.040</w:t>
            </w:r>
          </w:p>
        </w:tc>
      </w:tr>
      <w:tr>
        <w:tc>
          <w:tcPr>
            <w:tcW w:type="dxa" w:w="311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certifications</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2.527</w:t>
            </w:r>
          </w:p>
        </w:tc>
        <w:tc>
          <w:tcPr>
            <w:tcW w:type="dxa" w:w="255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2.501</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+0.025</w:t>
            </w:r>
          </w:p>
        </w:tc>
      </w:tr>
      <w:tr>
        <w:tc>
          <w:tcPr>
            <w:tcW w:type="dxa" w:w="311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projects</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2.447</w:t>
            </w:r>
          </w:p>
        </w:tc>
        <w:tc>
          <w:tcPr>
            <w:tcW w:type="dxa" w:w="255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2.530</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-0.083</w:t>
            </w:r>
          </w:p>
        </w:tc>
      </w:tr>
      <w:tr>
        <w:tc>
          <w:tcPr>
            <w:tcW w:type="dxa" w:w="311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backlogs</w:t>
            </w:r>
          </w:p>
        </w:tc>
        <w:tc>
          <w:tcPr>
            <w:tcW w:type="dxa" w:w="1984"/>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1.490</w:t>
            </w:r>
          </w:p>
        </w:tc>
        <w:tc>
          <w:tcPr>
            <w:tcW w:type="dxa" w:w="255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1.492</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-0.002</w:t>
            </w:r>
          </w:p>
        </w:tc>
      </w:tr>
    </w:tbl>
    <w:p/>
    <w:p>
      <w:pPr>
        <w:spacing w:before="200" w:after="120"/>
      </w:pPr>
      <w:r>
        <w:rPr>
          <w:b/>
          <w:color w:val="1E2761"/>
          <w:sz w:val="32"/>
        </w:rPr>
        <w:t>3.5  Placement Rate by Segment</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Segment</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Value</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Placed</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Total</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Rate</w:t>
            </w:r>
          </w:p>
        </w:tc>
      </w:tr>
      <w:tr>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Degree</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BSc</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946</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2,977</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31.8%</w:t>
            </w:r>
          </w:p>
        </w:tc>
      </w:tr>
      <w:tr>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Degree</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BE</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945</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2,981</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31.7%</w:t>
            </w:r>
          </w:p>
        </w:tc>
      </w:tr>
      <w:tr>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Degree</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BTech</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883</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2,971</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29.7%</w:t>
            </w:r>
          </w:p>
        </w:tc>
      </w:tr>
      <w:tr>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Degree</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BCA</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878</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3,071</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28.6%</w:t>
            </w:r>
          </w:p>
        </w:tc>
      </w:tr>
      <w:tr>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Branch</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DS</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640</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1,991</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32.1%</w:t>
            </w:r>
          </w:p>
        </w:tc>
      </w:tr>
      <w:tr>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Branch</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Mechanical</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655</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2,107</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31.1%</w:t>
            </w:r>
          </w:p>
        </w:tc>
      </w:tr>
      <w:tr>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Branch</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AI</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610</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2,016</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30.3%</w:t>
            </w:r>
          </w:p>
        </w:tc>
      </w:tr>
      <w:tr>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Branch</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IT</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572</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1,955</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29.3%</w:t>
            </w:r>
          </w:p>
        </w:tc>
      </w:tr>
      <w:tr>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Gender</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Female</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1,837</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5,992</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30.7%</w:t>
            </w:r>
          </w:p>
        </w:tc>
      </w:tr>
      <w:tr>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Gender</w:t>
            </w:r>
          </w:p>
        </w:tc>
        <w:tc>
          <w:tcPr>
            <w:tcW w:type="dxa" w:w="2268"/>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Male</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1,815</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6,008</w:t>
            </w:r>
          </w:p>
        </w:tc>
        <w:tc>
          <w:tcPr>
            <w:tcW w:type="dxa" w:w="1417"/>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30.2%</w:t>
            </w:r>
          </w:p>
        </w:tc>
      </w:tr>
    </w:tbl>
    <w:p>
      <w:pPr>
        <w:pBdr>
          <w:left w:val="single" w:sz="12" w:space="4" w:color="F59E0B"/>
        </w:pBdr>
        <w:shd w:val="clear" w:color="auto" w:fill="FEF3C7"/>
        <w:spacing w:before="80" w:after="160"/>
        <w:ind w:left="170"/>
      </w:pPr>
      <w:r>
        <w:rPr>
          <w:color w:val="92400E"/>
          <w:sz w:val="21"/>
        </w:rPr>
        <w:t>Note: The 3.2 pp spread across degrees and 2.9 pp spread across branches confirm that academic segment is a very weak standalone predictor of placement.</w:t>
      </w:r>
    </w:p>
    <w:p>
      <w:pPr>
        <w:spacing w:before="200" w:after="120"/>
      </w:pPr>
      <w:r>
        <w:rPr>
          <w:b/>
          <w:color w:val="1E2761"/>
          <w:sz w:val="32"/>
        </w:rPr>
        <w:t>3.6  Root Causes of Non-Placement</w:t>
      </w:r>
    </w:p>
    <w:tbl>
      <w:tblPr>
        <w:tblStyle w:val="TableGrid"/>
        <w:tblW w:type="auto" w:w="0"/>
        <w:jc w:val="left"/>
        <w:tblLook w:firstColumn="1" w:firstRow="1" w:lastColumn="0" w:lastRow="0" w:noHBand="0" w:noVBand="1" w:val="04A0"/>
      </w:tblPr>
      <w:tblGrid>
        <w:gridCol w:w="3041"/>
        <w:gridCol w:w="3041"/>
        <w:gridCol w:w="3041"/>
      </w:tblGrid>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Root Cause</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Count</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Share of Not-Placed</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Only Coding &lt; 5</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2,457</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29.4%</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Only Aptitude &lt; 60</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1,874</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22.4%</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Coding + Aptitude Fail</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1,226</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14.7%</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Only CGPA &lt; 6.5</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1,098</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13.2%</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Coding + CGPA Fail</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755</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9.0%</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Aptitude + CGPA Fail</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567</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6.8%</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All Three Fail</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371</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4.4%</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Total</w:t>
            </w:r>
          </w:p>
        </w:tc>
        <w:tc>
          <w:tcPr>
            <w:tcW w:type="dxa" w:w="170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8,348</w:t>
            </w:r>
          </w:p>
        </w:tc>
        <w:tc>
          <w:tcPr>
            <w:tcW w:type="dxa" w:w="2835"/>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100.0%</w:t>
            </w:r>
          </w:p>
        </w:tc>
      </w:tr>
    </w:tbl>
    <w:p>
      <w:pPr>
        <w:pBdr>
          <w:left w:val="single" w:sz="12" w:space="4" w:color="EF4444"/>
        </w:pBdr>
        <w:shd w:val="clear" w:color="auto" w:fill="FEE2E2"/>
        <w:spacing w:before="80" w:after="160"/>
        <w:ind w:left="170"/>
      </w:pPr>
      <w:r>
        <w:rPr>
          <w:color w:val="991B1B"/>
          <w:sz w:val="21"/>
        </w:rPr>
        <w:t>Low coding skills is the single most common barrier, affecting 29.4% of not-placed students as the sole failure factor and involved in 57% of all non-placements (when combined failures are included).</w:t>
      </w:r>
    </w:p>
    <w:p/>
    <w:p>
      <w:pPr>
        <w:spacing w:before="280" w:after="120"/>
      </w:pPr>
      <w:r>
        <w:rPr>
          <w:b/>
          <w:color w:val="1E2761"/>
          <w:sz w:val="40"/>
        </w:rPr>
        <w:t>4.  Dashboard Implementation</w:t>
      </w:r>
    </w:p>
    <w:p>
      <w:pPr>
        <w:spacing w:before="60" w:after="100"/>
      </w:pPr>
      <w:r>
        <w:rPr>
          <w:sz w:val="21"/>
        </w:rPr>
        <w:t>The dashboard is built with Streamlit and consists of six navigable pages. All charts are rendered with Plotly. Global sidebar filters (degree, branch, gender, age, placement status) persist across all aggregate pages via st.session_state.</w:t>
      </w:r>
    </w:p>
    <w:p/>
    <w:tbl>
      <w:tblPr>
        <w:tblStyle w:val="TableGrid"/>
        <w:tblW w:type="auto" w:w="0"/>
        <w:jc w:val="left"/>
        <w:tblLook w:firstColumn="1" w:firstRow="1" w:lastColumn="0" w:lastRow="0" w:noHBand="0" w:noVBand="1" w:val="04A0"/>
      </w:tblPr>
      <w:tblGrid>
        <w:gridCol w:w="3041"/>
        <w:gridCol w:w="3041"/>
        <w:gridCol w:w="3041"/>
      </w:tblGrid>
      <w:tr>
        <w:tc>
          <w:tcPr>
            <w:tcW w:type="dxa" w:w="85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Page</w:t>
            </w:r>
          </w:p>
        </w:tc>
        <w:tc>
          <w:tcPr>
            <w:tcW w:type="dxa" w:w="255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Title</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Key Components</w:t>
            </w:r>
          </w:p>
        </w:tc>
      </w:tr>
      <w:tr>
        <w:tc>
          <w:tcPr>
            <w:tcW w:type="dxa" w:w="85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1</w:t>
            </w:r>
          </w:p>
        </w:tc>
        <w:tc>
          <w:tcPr>
            <w:tcW w:type="dxa" w:w="255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Overview</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4 KPI cards, 3 threshold cards, placement donut, correlation bar, segment bars</w:t>
            </w:r>
          </w:p>
        </w:tc>
      </w:tr>
      <w:tr>
        <w:tc>
          <w:tcPr>
            <w:tcW w:type="dxa" w:w="85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2</w:t>
            </w:r>
          </w:p>
        </w:tc>
        <w:tc>
          <w:tcPr>
            <w:tcW w:type="dxa" w:w="255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Placement Insights</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3 threshold cliff charts, threshold distribution, heatmap, root cause pie</w:t>
            </w:r>
          </w:p>
        </w:tc>
      </w:tr>
      <w:tr>
        <w:tc>
          <w:tcPr>
            <w:tcW w:type="dxa" w:w="85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3</w:t>
            </w:r>
          </w:p>
        </w:tc>
        <w:tc>
          <w:tcPr>
            <w:tcW w:type="dxa" w:w="255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Skill Gap Analysis</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Gap bar, radar chart, 3 box plots, scatter (aptitude × coding)</w:t>
            </w:r>
          </w:p>
        </w:tc>
      </w:tr>
      <w:tr>
        <w:tc>
          <w:tcPr>
            <w:tcW w:type="dxa" w:w="85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4</w:t>
            </w:r>
          </w:p>
        </w:tc>
        <w:tc>
          <w:tcPr>
            <w:tcW w:type="dxa" w:w="255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Student Assessment</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Profile form, eligibility badge, 3 gauge charts, radar, percentile bars, benchmark table</w:t>
            </w:r>
          </w:p>
        </w:tc>
      </w:tr>
      <w:tr>
        <w:tc>
          <w:tcPr>
            <w:tcW w:type="dxa" w:w="85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5</w:t>
            </w:r>
          </w:p>
        </w:tc>
        <w:tc>
          <w:tcPr>
            <w:tcW w:type="dxa" w:w="255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AI Career Advisor</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Prioritised action cards, progress bars, benchmark table, disclaimer</w:t>
            </w:r>
          </w:p>
        </w:tc>
      </w:tr>
      <w:tr>
        <w:tc>
          <w:tcPr>
            <w:tcW w:type="dxa" w:w="85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6</w:t>
            </w:r>
          </w:p>
        </w:tc>
        <w:tc>
          <w:tcPr>
            <w:tcW w:type="dxa" w:w="2551"/>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Data Explorer</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Filterable sortable table, column chooser, histogram, CSV download</w:t>
            </w:r>
          </w:p>
        </w:tc>
      </w:tr>
    </w:tbl>
    <w:p/>
    <w:p>
      <w:pPr>
        <w:spacing w:before="200" w:after="120"/>
      </w:pPr>
      <w:r>
        <w:rPr>
          <w:b/>
          <w:color w:val="1E2761"/>
          <w:sz w:val="32"/>
        </w:rPr>
        <w:t>4.1  File Structure</w:t>
      </w:r>
    </w:p>
    <w:tbl>
      <w:tblPr>
        <w:tblStyle w:val="TableGrid"/>
        <w:tblW w:type="auto" w:w="0"/>
        <w:jc w:val="left"/>
        <w:tblLook w:firstColumn="1" w:firstRow="1" w:lastColumn="0" w:lastRow="0" w:noHBand="0" w:noVBand="1" w:val="04A0"/>
      </w:tblPr>
      <w:tblGrid>
        <w:gridCol w:w="4561"/>
        <w:gridCol w:w="4561"/>
      </w:tblGrid>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File</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1E2761"/>
            <w:vAlign w:val="center"/>
          </w:tcPr>
          <w:p>
            <w:pPr>
              <w:spacing w:before="60" w:after="60"/>
            </w:pPr>
            <w:r>
              <w:rPr>
                <w:b/>
                <w:color w:val="FFFFFF"/>
                <w:sz w:val="19"/>
              </w:rPr>
              <w:t>Role</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app.py</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Main entry point, navigation, sidebar filters, session state</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pages/1_Overview.py</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Headline KPIs and placement story</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pages/2_Placement_Insights.py</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Threshold analysis, segment breakdowns, root causes</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pages/3_Skill_Gap_Analysis.py</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Feature comparisons, radar, scatter</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pages/4_Student_Assessment.py</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Per-student eligibility checker and gap report</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pages/5_AI_Career_Advisor.py</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Rule-based personalised improvement plan</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pages/6_Data_Explorer.py</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Filterable table, histogram, CSV download</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utils/data_loader.py</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@st.cache_data, computed columns, filter helpers</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utils/charts.py</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Reusable Plotly chart builders</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utils/theme.py</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Colour palette, KPI card CSS, layout constants</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student_placement_clean.csv</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7F8FA"/>
            <w:vAlign w:val="center"/>
          </w:tcPr>
          <w:p>
            <w:pPr>
              <w:spacing w:before="60" w:after="60"/>
            </w:pPr>
            <w:r>
              <w:rPr>
                <w:sz w:val="19"/>
              </w:rPr>
              <w:t>Cleaned 12,000-row analysis dataset</w:t>
            </w:r>
          </w:p>
        </w:tc>
      </w:tr>
      <w:tr>
        <w:tc>
          <w:tcPr>
            <w:tcW w:type="dxa" w:w="3402"/>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requirements.txt</w:t>
            </w:r>
          </w:p>
        </w:tc>
        <w:tc>
          <w:tcPr>
            <w:tcW w:type="dxa" w:w="6520"/>
            <w:tcBorders>
              <w:top w:val="single" w:sz="4" w:space="0" w:color="E5E7EB"/>
              <w:left w:val="single" w:sz="4" w:space="0" w:color="E5E7EB"/>
              <w:bottom w:val="single" w:sz="4" w:space="0" w:color="E5E7EB"/>
              <w:right w:val="single" w:sz="4" w:space="0" w:color="E5E7EB"/>
              <w:insideH w:val="single" w:sz="4" w:space="0" w:color="E5E7EB"/>
              <w:insideV w:val="single" w:sz="4" w:space="0" w:color="E5E7EB"/>
            </w:tcBorders>
            <w:shd w:val="clear" w:color="auto" w:fill="FFFFFF"/>
            <w:vAlign w:val="center"/>
          </w:tcPr>
          <w:p>
            <w:pPr>
              <w:spacing w:before="60" w:after="60"/>
            </w:pPr>
            <w:r>
              <w:rPr>
                <w:sz w:val="19"/>
              </w:rPr>
              <w:t>Python package dependencies</w:t>
            </w:r>
          </w:p>
        </w:tc>
      </w:tr>
    </w:tbl>
    <w:p/>
    <w:p>
      <w:pPr>
        <w:spacing w:before="280" w:after="120"/>
      </w:pPr>
      <w:r>
        <w:rPr>
          <w:b/>
          <w:color w:val="1E2761"/>
          <w:sz w:val="40"/>
        </w:rPr>
        <w:t>5.  Student Assessment &amp; AI Career Advisor</w:t>
      </w:r>
    </w:p>
    <w:p>
      <w:pPr>
        <w:spacing w:before="60" w:after="100"/>
      </w:pPr>
      <w:r>
        <w:rPr>
          <w:sz w:val="21"/>
        </w:rPr>
        <w:t>The Student Assessment page accepts a student profile (CGPA, aptitude score, coding skills, and 9 additional fields) and evaluates it against the three verified thresholds. Results include:</w:t>
      </w:r>
    </w:p>
    <w:p>
      <w:pPr>
        <w:pStyle w:val="ListBullet"/>
        <w:spacing w:after="80"/>
      </w:pPr>
      <w:r>
        <w:rPr>
          <w:sz w:val="21"/>
        </w:rPr>
        <w:t>A clear ELIGIBLE / NOT ELIGIBLE banner with the specific failing condition(s)</w:t>
      </w:r>
    </w:p>
    <w:p>
      <w:pPr>
        <w:pStyle w:val="ListBullet"/>
        <w:spacing w:after="80"/>
      </w:pPr>
      <w:r>
        <w:rPr>
          <w:sz w:val="21"/>
        </w:rPr>
        <w:t>Three gauge charts showing each critical score vs its threshold</w:t>
      </w:r>
    </w:p>
    <w:p>
      <w:pPr>
        <w:pStyle w:val="ListBullet"/>
        <w:spacing w:after="80"/>
      </w:pPr>
      <w:r>
        <w:rPr>
          <w:sz w:val="21"/>
        </w:rPr>
        <w:t>A radar chart comparing the student profile against the placed-student average</w:t>
      </w:r>
    </w:p>
    <w:p>
      <w:pPr>
        <w:pStyle w:val="ListBullet"/>
        <w:spacing w:after="80"/>
      </w:pPr>
      <w:r>
        <w:rPr>
          <w:sz w:val="21"/>
        </w:rPr>
        <w:t>Peer percentile ranks on the three significant features</w:t>
      </w:r>
    </w:p>
    <w:p>
      <w:pPr>
        <w:pStyle w:val="ListBullet"/>
        <w:spacing w:after="80"/>
      </w:pPr>
      <w:r>
        <w:rPr>
          <w:sz w:val="21"/>
        </w:rPr>
        <w:t>A benchmark table against the 25th, 50th, and 75th percentiles of placed students</w:t>
      </w:r>
    </w:p>
    <w:p>
      <w:pPr>
        <w:spacing w:before="60" w:after="100"/>
      </w:pPr>
      <w:r>
        <w:rPr>
          <w:sz w:val="21"/>
        </w:rPr>
        <w:t>The AI Career Advisor page generates a prioritised action plan ranked by the statistical importance of each gap (coding first, aptitude second, CGPA third). Cards are colour-coded red (critical), amber (moderate), and green (optimise). All recommendations reference specific dataset statistics. A prominent disclaimer clarifies that the tool is descriptive and does not guarantee real-world placement.</w:t>
      </w:r>
    </w:p>
    <w:p/>
    <w:p>
      <w:pPr>
        <w:spacing w:before="280" w:after="120"/>
      </w:pPr>
      <w:r>
        <w:rPr>
          <w:b/>
          <w:color w:val="1E2761"/>
          <w:sz w:val="40"/>
        </w:rPr>
        <w:t>6.  Technical Design Decisions</w:t>
      </w:r>
    </w:p>
    <w:p>
      <w:pPr>
        <w:spacing w:before="60" w:after="100"/>
      </w:pPr>
      <w:r>
        <w:rPr>
          <w:b/>
          <w:color w:val="1E2761"/>
          <w:sz w:val="21"/>
        </w:rPr>
        <w:t xml:space="preserve">Rule-based assessment, not ML: </w:t>
      </w:r>
      <w:r>
        <w:rPr>
          <w:sz w:val="21"/>
        </w:rPr>
        <w:t>The dataset has a 100%-accurate deterministic rule. Adding an ML model would add complexity with zero accuracy gain. The rule is applied directly and honestly.</w:t>
      </w:r>
    </w:p>
    <w:p>
      <w:pPr>
        <w:spacing w:before="60" w:after="100"/>
      </w:pPr>
      <w:r>
        <w:rPr>
          <w:b/>
          <w:color w:val="1E2761"/>
          <w:sz w:val="21"/>
        </w:rPr>
        <w:t xml:space="preserve">company_type and package_lpa excluded: </w:t>
      </w:r>
      <w:r>
        <w:rPr>
          <w:sz w:val="21"/>
        </w:rPr>
        <w:t>These are post-placement outcome fields. Including them as features would constitute target leakage. They are preserved in the original file but excluded from the clean analysis dataset.</w:t>
      </w:r>
    </w:p>
    <w:p>
      <w:pPr>
        <w:spacing w:before="60" w:after="100"/>
      </w:pPr>
      <w:r>
        <w:rPr>
          <w:b/>
          <w:color w:val="1E2761"/>
          <w:sz w:val="21"/>
        </w:rPr>
        <w:t xml:space="preserve">Statistical honesty: </w:t>
      </w:r>
      <w:r>
        <w:rPr>
          <w:sz w:val="21"/>
        </w:rPr>
        <w:t>Only features with statistically significant relationships (p &lt; 0.001) are highlighted as drivers. Communication skills, backlogs, certifications, and internships are explicitly labelled as non-significant in the Skill Gap table.</w:t>
      </w:r>
    </w:p>
    <w:p>
      <w:pPr>
        <w:spacing w:before="60" w:after="100"/>
      </w:pPr>
      <w:r>
        <w:rPr>
          <w:b/>
          <w:color w:val="1E2761"/>
          <w:sz w:val="21"/>
        </w:rPr>
        <w:t xml:space="preserve">@st.cache_data: </w:t>
      </w:r>
      <w:r>
        <w:rPr>
          <w:sz w:val="21"/>
        </w:rPr>
        <w:t>The CSV is loaded and all computed columns are added once per session, keeping all pages fast regardless of filter changes.</w:t>
      </w:r>
    </w:p>
    <w:p>
      <w:pPr>
        <w:spacing w:before="60" w:after="100"/>
      </w:pPr>
      <w:r>
        <w:rPr>
          <w:b/>
          <w:color w:val="1E2761"/>
          <w:sz w:val="21"/>
        </w:rPr>
        <w:t xml:space="preserve">Session state profile sharing: </w:t>
      </w:r>
      <w:r>
        <w:rPr>
          <w:sz w:val="21"/>
        </w:rPr>
        <w:t>The student profile entered on the Assessment page flows automatically into the AI Career Advisor, so the user enters their profile once.</w:t>
      </w:r>
    </w:p>
    <w:p/>
    <w:p>
      <w:pPr>
        <w:spacing w:before="280" w:after="120"/>
      </w:pPr>
      <w:r>
        <w:rPr>
          <w:b/>
          <w:color w:val="1E2761"/>
          <w:sz w:val="40"/>
        </w:rPr>
        <w:t>7.  Testing &amp; Validation</w:t>
      </w:r>
    </w:p>
    <w:p>
      <w:pPr>
        <w:spacing w:before="60" w:after="100"/>
      </w:pPr>
      <w:r>
        <w:rPr>
          <w:sz w:val="21"/>
        </w:rPr>
        <w:t>A 39-case integration test suite (test_integration.py) was run against the full pipeline covering: data load, column dtypes, filter logic, metric calculations, all 16 chart builder functions, student assessment eligibility logic, and root-cause consistency.</w:t>
      </w:r>
    </w:p>
    <w:p>
      <w:pPr>
        <w:pBdr>
          <w:left w:val="single" w:sz="12" w:space="4" w:color="10B981"/>
        </w:pBdr>
        <w:shd w:val="clear" w:color="auto" w:fill="D1FAE5"/>
        <w:spacing w:before="80" w:after="160"/>
        <w:ind w:left="170"/>
      </w:pPr>
      <w:r>
        <w:rPr>
          <w:color w:val="065F46"/>
          <w:sz w:val="21"/>
        </w:rPr>
        <w:t>Result: 39 passed, 0 failed.</w:t>
      </w:r>
    </w:p>
    <w:p/>
    <w:p>
      <w:pPr>
        <w:spacing w:before="280" w:after="120"/>
      </w:pPr>
      <w:r>
        <w:rPr>
          <w:b/>
          <w:color w:val="1E2761"/>
          <w:sz w:val="40"/>
        </w:rPr>
        <w:t>8.  Limitations &amp; Caveats</w:t>
      </w:r>
    </w:p>
    <w:p>
      <w:pPr>
        <w:pStyle w:val="ListBullet"/>
        <w:spacing w:after="80"/>
      </w:pPr>
      <w:r>
        <w:rPr>
          <w:sz w:val="21"/>
        </w:rPr>
        <w:t>The three-factor rule achieves 100% accuracy on this specific 12,000-student dataset. It is a descriptive pattern, not a causal or universally valid placement guarantee.</w:t>
      </w:r>
    </w:p>
    <w:p>
      <w:pPr>
        <w:pStyle w:val="ListBullet"/>
        <w:spacing w:after="80"/>
      </w:pPr>
      <w:r>
        <w:rPr>
          <w:sz w:val="21"/>
        </w:rPr>
        <w:t>The dataset does not include interview performance, soft-skill assessments, or company-specific selection criteria, which are important in real placement processes.</w:t>
      </w:r>
    </w:p>
    <w:p>
      <w:pPr>
        <w:pStyle w:val="ListBullet"/>
        <w:spacing w:after="80"/>
      </w:pPr>
      <w:r>
        <w:rPr>
          <w:sz w:val="21"/>
        </w:rPr>
        <w:t>Placement rates by degree and branch are nearly uniform (28.6–32.1%), suggesting that segment-based interventions will have limited impact.</w:t>
      </w:r>
    </w:p>
    <w:p>
      <w:pPr>
        <w:pStyle w:val="ListBullet"/>
        <w:spacing w:after="80"/>
      </w:pPr>
      <w:r>
        <w:rPr>
          <w:sz w:val="21"/>
        </w:rPr>
        <w:t>Communication skills, backlogs, certifications, and projects show no statistically significant relationship with placement in this dataset (p &gt; 0.05).</w:t>
      </w:r>
    </w:p>
    <w:p/>
    <w:p>
      <w:pPr>
        <w:pBdr>
          <w:bottom w:val="single" w:sz="6" w:space="1" w:color="3B82D4"/>
        </w:pBdr>
        <w:spacing w:before="0" w:after="120"/>
      </w:pPr>
    </w:p>
    <w:p>
      <w:pPr>
        <w:spacing w:before="0"/>
        <w:jc w:val="center"/>
      </w:pPr>
      <w:r>
        <w:rPr>
          <w:color w:val="57606A"/>
          <w:sz w:val="18"/>
        </w:rPr>
        <w:t>AI-Powered Student Career &amp; Placement Analytics  ·  Project Report  ·  2025</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7606A"/>
        <w:sz w:val="18"/>
      </w:rPr>
      <w:t xml:space="preserve">Page </w:t>
      <w:fldChar w:fldCharType="begin"/>
      <w:instrText>PAGE</w:instrText>
      <w:fldChar w:fldCharType="end"/>
    </w:r>
    <w:r>
      <w:rPr>
        <w:color w:val="57606A"/>
        <w:sz w:val="18"/>
      </w:rPr>
      <w:t xml:space="preserve">  of  </w:t>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