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881063" cy="9682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1063" cy="968296"/>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Midterm Assignment </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b w:val="1"/>
          <w:bCs w:val="1"/>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Submitted by</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Mahir Abrar Hasan</w:t>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23101129</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Hum101</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13</w:t>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Spring 2026</w:t>
      </w:r>
    </w:p>
    <w:p w:rsidR="00000000" w:rsidDel="00000000" w:rsidP="00000000" w:rsidRDefault="00000000" w:rsidRPr="00000000" w14:paraId="0000000B">
      <w:pPr>
        <w:spacing w:after="160" w:line="259"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Submitted to</w:t>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the Instructor : </w:t>
      </w:r>
      <w:hyperlink r:id="rId7">
        <w:r w:rsidDel="00000000" w:rsidR="00000000" w:rsidRPr="00000000">
          <w:rPr>
            <w:rFonts w:ascii="Times New Roman" w:cs="Times New Roman" w:eastAsia="Times New Roman" w:hAnsi="Times New Roman"/>
            <w:color w:val="0000ee"/>
            <w:sz w:val="28"/>
            <w:szCs w:val="28"/>
            <w:u w:val="single"/>
            <w:rtl w:val="0"/>
          </w:rPr>
          <w:t xml:space="preserve">Halima Hasin Tofa</w:t>
        </w:r>
      </w:hyperlink>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Designation of the Instructor : Lecturer</w:t>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BRAC University</w:t>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of Submission: 31/03/2026</w:t>
      </w:r>
    </w:p>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and status of women in both ancient China and Rome were largely dictated by the patriarchal legal systems and male dominated governing bodies ruling. These systems determined their rights, access to power, land ownership and agency. However the degree and nature of this subjugation depended on many subtle yet significant underlying philosophies and legal frameworks. Ancient Rome  gradually recognized limited legal autonomy of women whereas China did not largely due to being confined in the belief that male guardians must guide the lives of the women (Cheng, 2024). Furthermore, the structure of the Chinese government was built through rigid kinship hierarchies and women, especially of royal heritage, were used as power brokers. In contrast,  Roman society gradually introduced some degree of autonomy and also emphasized consent in regard to marriage and other social aspects which is reflected in Cicero’s correspondence  (Steel, 2003). Finally, women were granted fairer participation in their role in both law and governance by Rome in comparison to China due to having independent political identity like sine manu marriages, more flexible access to power and more participation in social and political aspects albeit using patronage which is exemplified by the politically active woman Fulvia (83-40 BCE) (Sean, 2024).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basic distinction between ancient China and Rome in terms of the role of women is that Rome gradually recognized women as independent individuals within the law whereas China defined them through their relationships with male guardians and  kinships. Early Roman customs inherited from Greeks confined women under lifelong guardianship and thus barring them from independently making private agreements (Vigneron &amp; Gerkens, 2000). However substantial legal developments especially due to the Twelve Tables, created opportunities for female participation such as more adaptable inheritance laws, sine manu marriage (Vigneron &amp; Gerkens, 2000). Sine manu marriage was a legal arrangement in which a woman retained the assets of her natal family rather than passing all  the ownership to her husband which was a significant departure from manus marriage where all individual property rights were stripped (Vigneron &amp; Gerkens, 2000).This transition from Manus to Sine manu reflects the willingness of the Roman society to recognize limited female identity, autonomy. Furthermore, evidence from Cicero's correspondence shows that even without the husband, the wife managed to gather resources and form political campaigns for the exiled husband showing economic agency (Steel, 2003). But in Ancient China, lifelong obedience and subordination even in the eyes of the law were deeply rooted in the sociological infrastructure by Confucian ideology. This condition was reinforced through the principle of three followings or Sancong. Sancong is the rule that women must follow their fathers before marriage, husbands after marriage and sons in widowhood (Cartwright &amp; Artist, 2026). This mirrored the earlier stage of Rome, and due to the rigidity of the Confucian beliefs, women remained chained in the patriarchal kinship structures. However, Roman women especially during the early stages, were still largely excluded from political agency and remained subjugated to the male dominated systems especially the economically displaced. Unlike the Roman transition toward a more women friendly laws, the Chinese law infrastructure did not change in a similar way, rather it continued to doctrine hierarchical kinship and obedience over legal autonomy of women. Therefore, as Hughes and Hughes(1995, pp. 113-128) note, while not fully recognised under the law,  the women in Rome still enjoyed far more autonomy under the law than Chinese women.</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key difference between ancient China and Rome is integrated in how women accessed </w:t>
      </w:r>
      <w:r w:rsidDel="00000000" w:rsidR="00000000" w:rsidRPr="00000000">
        <w:rPr>
          <w:rFonts w:ascii="Times New Roman" w:cs="Times New Roman" w:eastAsia="Times New Roman" w:hAnsi="Times New Roman"/>
          <w:sz w:val="24"/>
          <w:szCs w:val="24"/>
          <w:rtl w:val="0"/>
        </w:rPr>
        <w:t xml:space="preserve">power. As</w:t>
      </w:r>
      <w:r w:rsidDel="00000000" w:rsidR="00000000" w:rsidRPr="00000000">
        <w:rPr>
          <w:rFonts w:ascii="Times New Roman" w:cs="Times New Roman" w:eastAsia="Times New Roman" w:hAnsi="Times New Roman"/>
          <w:sz w:val="24"/>
          <w:szCs w:val="24"/>
          <w:rtl w:val="0"/>
        </w:rPr>
        <w:t xml:space="preserve"> Hughes and Hughes (1995, pp. 97-112) explain that in ancient China, the governmental structure was constructed from a rigid kinship system, where a woman's authority was acquired from her status as a wife, mother or daughter. Power came from the relation within the male-dominated structures rather than assets. Elite figures like Empress Lu acted as a regent of the new teenage emperor Hsiao-Hsu, she commanded full imperial authority and implemented policies such as reducing taxes, lessening harsh punishments, and taking monetary supplement in case of punishment (Hughes &amp; Hughes, 1995, pp. 97-112). However, her power relied heavily on her natal family and royal alliances. Hughes and Hughes (1995, pp. 97-112) further explained that mostly the powerful women were fortunate enough to exercise the power that was bound to their male lineage rather than independent institutional power. According to Swann (2023), historical contemporaries often portrayed her as cruel and unjust, simply because she was reigning, stepping outside her familial  role. In contrast, Roman society, despite being patriarchal, was less bound to any particular philosophical argument like Confucianism and as such was more susceptible to changes that allowed women to exert influence in the power dynamics.  This pattern is clearly spotlighted in Hortensia’s speech, in which elite Roman women banded together and protested against taxation for the civil war by triumvirs (Hopwood, 2015). Hortensia furthermore highlighted the injustice of being taxed without political representation and in wars where their husbands and sons were exiled (Hopwood, 2015).Which suggests that women of elite class could assemble and engage in state policies and civic responsibilities that broke the mould of being confined to only domestic or familial roles. This also shows more agency and participation in the power dynamics than their Chinese counterparts, who were confined to being the bridge between the wealthy and the royal families (Hopwood, 2015).</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disparity in the roles that women played in both ancient Rome and China lies in how women were able to participate in political engagements both actively and passively. Gender segregation was present in the political sphere and the bureaucracy consisted of only elite men (Sowden, 2020). Female regents faced logistical challenges as they had to circumvent segregation and also interact with the male only bureaucracy (Sowden, 2020). Other than the role of regent, the royal women were used as political tools, moved by their male relatives to suit imperial motives, particularly in dynastic marriages. Geographically, China being under threat of nomadic invasions often sent royal women as brides to nomadic leaders to secure allegiance. In her account of the "Eighteen Verses Sung to a Tatar Reed Whistle," poem, Chinese poet Tsai Yen highlighted how Chinese women were acted upon by political forces rather than participating in them (Rexroth &amp; Chung, 1972). Although power brokers often had some agency as they were granted immunity from the punishments given to the husbands, they were often limited to the potency of their natal family's male relatives. Conversely, the participation of the Roman women in political aspects was more noticeable. Such is the case of Fulvia who during the absence of Antony and Octavia controlled political activity in Rome, and went as far as initiating the Perusine War against Octavian for infidelity. This shows an extraordinary level of direct political involvement which the Chinese counterparts could not accomplish due to being confined in the teachings of Sancong. Therefore while both societies denied women direct participation in political power, Rome provided more opportunities and flexibility for recognizable participation which can be seen in the historical examples whereas Chinese equivalents only acted as a means or tool for their male counterparts.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as Cheng(2024) emphasized the roles and position of women in both societies were deeply molded by the patriarchal structures rooted with the philosophies reinforced by the community, but the contrast came due to differing values attributed to legal and political autonomy, inclusion in the power dynamics and lastly participation in the civic occasions. In China, participation of women was largely confined by male ancestry and Confucian ideology. Both factors defined their value and position in relation to men. On the contrary, Roman women even though working under a patriarchal society still enjoyed far greater autonomy, opportunities for active participation especially in the later stages (Sean, 2024). Historical figures such as Hortensia, Fulvia and Livia Drusilla represent how these women wield influence in the political sphere through advisory roles, have economic assets and demonstrate further visibility in the history books than their Chinese counterparts (Hughes &amp; Hughes, 1995). Ultimately, both China and Rome confined and limited women’s role and position, but Rome’s comparatively more adaptable societal philosophies and legal systems allowed women to exercise meaningful and visible contributions to civic and political aspects, which in turn highlights the nuances of the way women created their own roles and positions in a patriarchal society across the ancient world (Hughes &amp; Hughes, 1995).</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References:</w:t>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Cartwright, M., &amp; Artist, U. (2026). Women in Ancient China. </w:t>
      </w:r>
      <w:r w:rsidDel="00000000" w:rsidR="00000000" w:rsidRPr="00000000">
        <w:rPr>
          <w:rFonts w:ascii="Times New Roman" w:cs="Times New Roman" w:eastAsia="Times New Roman" w:hAnsi="Times New Roman"/>
          <w:i w:val="1"/>
          <w:iCs w:val="1"/>
          <w:sz w:val="24"/>
          <w:szCs w:val="24"/>
          <w:rtl w:val="0"/>
        </w:rPr>
        <w:t xml:space="preserve">World History Encyclopedia</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https://www.worldhistory.org/article/1136/women-in-ancient-china/</w:t>
        </w:r>
      </w:hyperlink>
      <w:r w:rsidDel="00000000" w:rsidR="00000000" w:rsidRPr="00000000">
        <w:rPr>
          <w:rtl w:val="0"/>
        </w:rPr>
      </w:r>
    </w:p>
    <w:p w:rsidR="00000000" w:rsidDel="00000000" w:rsidP="00000000" w:rsidRDefault="00000000" w:rsidRPr="00000000" w14:paraId="00000038">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Y. (2024). The influence of Confucianism on the role of women in the new era. </w:t>
      </w:r>
      <w:r w:rsidDel="00000000" w:rsidR="00000000" w:rsidRPr="00000000">
        <w:rPr>
          <w:rFonts w:ascii="Times New Roman" w:cs="Times New Roman" w:eastAsia="Times New Roman" w:hAnsi="Times New Roman"/>
          <w:i w:val="1"/>
          <w:iCs w:val="1"/>
          <w:sz w:val="24"/>
          <w:szCs w:val="24"/>
          <w:rtl w:val="0"/>
        </w:rPr>
        <w:t xml:space="preserve">Journal of Education Humanities and Social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36–40.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https://doi.org/10.54097/vzpvaf70</w:t>
        </w:r>
      </w:hyperlink>
      <w:r w:rsidDel="00000000" w:rsidR="00000000" w:rsidRPr="00000000">
        <w:rPr>
          <w:rtl w:val="0"/>
        </w:rPr>
      </w:r>
    </w:p>
    <w:p w:rsidR="00000000" w:rsidDel="00000000" w:rsidP="00000000" w:rsidRDefault="00000000" w:rsidRPr="00000000" w14:paraId="00000039">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Hopwood, B. (2015). </w:t>
      </w:r>
      <w:r w:rsidDel="00000000" w:rsidR="00000000" w:rsidRPr="00000000">
        <w:rPr>
          <w:rFonts w:ascii="Times New Roman" w:cs="Times New Roman" w:eastAsia="Times New Roman" w:hAnsi="Times New Roman"/>
          <w:i w:val="1"/>
          <w:iCs w:val="1"/>
          <w:sz w:val="24"/>
          <w:szCs w:val="24"/>
          <w:rtl w:val="0"/>
        </w:rPr>
        <w:t xml:space="preserve">Hortensia speaks: an authentic voice of resistance?</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https://rune.une.edu.au/entities/publication/98e7bf3b-599d-4d3c-8f21-fbb14a0343f1</w:t>
        </w:r>
      </w:hyperlink>
      <w:r w:rsidDel="00000000" w:rsidR="00000000" w:rsidRPr="00000000">
        <w:rPr>
          <w:rtl w:val="0"/>
        </w:rPr>
      </w:r>
    </w:p>
    <w:p w:rsidR="00000000" w:rsidDel="00000000" w:rsidP="00000000" w:rsidRDefault="00000000" w:rsidRPr="00000000" w14:paraId="0000003A">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Hughes, S. S., &amp; Hughes, B. (1995). </w:t>
      </w:r>
      <w:r w:rsidDel="00000000" w:rsidR="00000000" w:rsidRPr="00000000">
        <w:rPr>
          <w:rFonts w:ascii="Times New Roman" w:cs="Times New Roman" w:eastAsia="Times New Roman" w:hAnsi="Times New Roman"/>
          <w:i w:val="1"/>
          <w:iCs w:val="1"/>
          <w:sz w:val="24"/>
          <w:szCs w:val="24"/>
          <w:rtl w:val="0"/>
        </w:rPr>
        <w:t xml:space="preserve">Women in world history: Volume 1: Readings from prehistory to 1500</w:t>
      </w:r>
      <w:r w:rsidDel="00000000" w:rsidR="00000000" w:rsidRPr="00000000">
        <w:rPr>
          <w:rFonts w:ascii="Times New Roman" w:cs="Times New Roman" w:eastAsia="Times New Roman" w:hAnsi="Times New Roman"/>
          <w:sz w:val="24"/>
          <w:szCs w:val="24"/>
          <w:rtl w:val="0"/>
        </w:rPr>
        <w:t xml:space="preserve">. M.E. Sharpe.</w:t>
      </w:r>
    </w:p>
    <w:p w:rsidR="00000000" w:rsidDel="00000000" w:rsidP="00000000" w:rsidRDefault="00000000" w:rsidRPr="00000000" w14:paraId="0000003B">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Rexroth, K., &amp; Chung, L. (1972). </w:t>
      </w:r>
      <w:r w:rsidDel="00000000" w:rsidR="00000000" w:rsidRPr="00000000">
        <w:rPr>
          <w:rFonts w:ascii="Times New Roman" w:cs="Times New Roman" w:eastAsia="Times New Roman" w:hAnsi="Times New Roman"/>
          <w:i w:val="1"/>
          <w:iCs w:val="1"/>
          <w:sz w:val="24"/>
          <w:szCs w:val="24"/>
          <w:rtl w:val="0"/>
        </w:rPr>
        <w:t xml:space="preserve">The orchid boat: Women poets of China</w:t>
      </w:r>
      <w:r w:rsidDel="00000000" w:rsidR="00000000" w:rsidRPr="00000000">
        <w:rPr>
          <w:rFonts w:ascii="Times New Roman" w:cs="Times New Roman" w:eastAsia="Times New Roman" w:hAnsi="Times New Roman"/>
          <w:sz w:val="24"/>
          <w:szCs w:val="24"/>
          <w:rtl w:val="0"/>
        </w:rPr>
        <w:t xml:space="preserve">. New Directions Publishing Corporation.</w:t>
      </w:r>
    </w:p>
    <w:p w:rsidR="00000000" w:rsidDel="00000000" w:rsidP="00000000" w:rsidRDefault="00000000" w:rsidRPr="00000000" w14:paraId="0000003C">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 (2024, March 8). Women of Ancient Rome. Classical Wisdom. </w:t>
      </w:r>
      <w:hyperlink r:id="rId11">
        <w:r w:rsidDel="00000000" w:rsidR="00000000" w:rsidRPr="00000000">
          <w:rPr>
            <w:rFonts w:ascii="Times New Roman" w:cs="Times New Roman" w:eastAsia="Times New Roman" w:hAnsi="Times New Roman"/>
            <w:color w:val="1155cc"/>
            <w:sz w:val="24"/>
            <w:szCs w:val="24"/>
            <w:u w:val="single"/>
            <w:rtl w:val="0"/>
          </w:rPr>
          <w:t xml:space="preserve">https://classicalwisdom.substack.com/p/women-of-ancient-rome</w:t>
        </w:r>
      </w:hyperlink>
      <w:r w:rsidDel="00000000" w:rsidR="00000000" w:rsidRPr="00000000">
        <w:rPr>
          <w:rtl w:val="0"/>
        </w:rPr>
      </w:r>
    </w:p>
    <w:p w:rsidR="00000000" w:rsidDel="00000000" w:rsidP="00000000" w:rsidRDefault="00000000" w:rsidRPr="00000000" w14:paraId="0000003D">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Sowden, L. (2020). Woman in Early Imperial China: the socio - political forces and gender norms surrounding elite women in the Han Dynasty. In </w:t>
      </w:r>
      <w:r w:rsidDel="00000000" w:rsidR="00000000" w:rsidRPr="00000000">
        <w:rPr>
          <w:rFonts w:ascii="Times New Roman" w:cs="Times New Roman" w:eastAsia="Times New Roman" w:hAnsi="Times New Roman"/>
          <w:i w:val="1"/>
          <w:iCs w:val="1"/>
          <w:sz w:val="24"/>
          <w:szCs w:val="24"/>
          <w:rtl w:val="0"/>
        </w:rPr>
        <w:t xml:space="preserve">Figshare</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https://doi.org/10.25949/19427555.v1</w:t>
        </w:r>
      </w:hyperlink>
      <w:r w:rsidDel="00000000" w:rsidR="00000000" w:rsidRPr="00000000">
        <w:rPr>
          <w:rtl w:val="0"/>
        </w:rPr>
      </w:r>
    </w:p>
    <w:p w:rsidR="00000000" w:rsidDel="00000000" w:rsidP="00000000" w:rsidRDefault="00000000" w:rsidRPr="00000000" w14:paraId="0000003E">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C. E. W. (2003). Review: Cicero’s letters completed. </w:t>
      </w:r>
      <w:r w:rsidDel="00000000" w:rsidR="00000000" w:rsidRPr="00000000">
        <w:rPr>
          <w:rFonts w:ascii="Times New Roman" w:cs="Times New Roman" w:eastAsia="Times New Roman" w:hAnsi="Times New Roman"/>
          <w:i w:val="1"/>
          <w:iCs w:val="1"/>
          <w:sz w:val="24"/>
          <w:szCs w:val="24"/>
          <w:rtl w:val="0"/>
        </w:rPr>
        <w:t xml:space="preserve">The Classical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53</w:t>
      </w:r>
      <w:r w:rsidDel="00000000" w:rsidR="00000000" w:rsidRPr="00000000">
        <w:rPr>
          <w:rFonts w:ascii="Times New Roman" w:cs="Times New Roman" w:eastAsia="Times New Roman" w:hAnsi="Times New Roman"/>
          <w:sz w:val="24"/>
          <w:szCs w:val="24"/>
          <w:rtl w:val="0"/>
        </w:rPr>
        <w:t xml:space="preserve">(2), 344–346. </w:t>
      </w:r>
      <w:hyperlink r:id="rId13">
        <w:r w:rsidDel="00000000" w:rsidR="00000000" w:rsidRPr="00000000">
          <w:rPr>
            <w:rFonts w:ascii="Times New Roman" w:cs="Times New Roman" w:eastAsia="Times New Roman" w:hAnsi="Times New Roman"/>
            <w:color w:val="1155cc"/>
            <w:sz w:val="24"/>
            <w:szCs w:val="24"/>
            <w:u w:val="single"/>
            <w:rtl w:val="0"/>
          </w:rPr>
          <w:t xml:space="preserve">https://www.jstor.org/stable/3662127</w:t>
        </w:r>
      </w:hyperlink>
      <w:r w:rsidDel="00000000" w:rsidR="00000000" w:rsidRPr="00000000">
        <w:rPr>
          <w:rtl w:val="0"/>
        </w:rPr>
      </w:r>
    </w:p>
    <w:p w:rsidR="00000000" w:rsidDel="00000000" w:rsidP="00000000" w:rsidRDefault="00000000" w:rsidRPr="00000000" w14:paraId="0000003F">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Swann, L. (2023, October 17). </w:t>
      </w:r>
      <w:r w:rsidDel="00000000" w:rsidR="00000000" w:rsidRPr="00000000">
        <w:rPr>
          <w:rFonts w:ascii="Times New Roman" w:cs="Times New Roman" w:eastAsia="Times New Roman" w:hAnsi="Times New Roman"/>
          <w:i w:val="1"/>
          <w:iCs w:val="1"/>
          <w:sz w:val="24"/>
          <w:szCs w:val="24"/>
          <w:rtl w:val="0"/>
        </w:rPr>
        <w:t xml:space="preserve">Empress Lu Zhi of Han – China’s first reigning Empress</w:t>
      </w:r>
      <w:r w:rsidDel="00000000" w:rsidR="00000000" w:rsidRPr="00000000">
        <w:rPr>
          <w:rFonts w:ascii="Times New Roman" w:cs="Times New Roman" w:eastAsia="Times New Roman" w:hAnsi="Times New Roman"/>
          <w:sz w:val="24"/>
          <w:szCs w:val="24"/>
          <w:rtl w:val="0"/>
        </w:rPr>
        <w:t xml:space="preserve">. History of Royal Women. </w:t>
      </w:r>
      <w:hyperlink r:id="rId14">
        <w:r w:rsidDel="00000000" w:rsidR="00000000" w:rsidRPr="00000000">
          <w:rPr>
            <w:rFonts w:ascii="Times New Roman" w:cs="Times New Roman" w:eastAsia="Times New Roman" w:hAnsi="Times New Roman"/>
            <w:color w:val="1155cc"/>
            <w:sz w:val="24"/>
            <w:szCs w:val="24"/>
            <w:u w:val="single"/>
            <w:rtl w:val="0"/>
          </w:rPr>
          <w:t xml:space="preserve">https://www.historyofroyalwomen.com/the-royal-women/empress-lu-zhi-han-chinas-first-reigning-empress/</w:t>
        </w:r>
      </w:hyperlink>
      <w:r w:rsidDel="00000000" w:rsidR="00000000" w:rsidRPr="00000000">
        <w:rPr>
          <w:rtl w:val="0"/>
        </w:rPr>
      </w:r>
    </w:p>
    <w:p w:rsidR="00000000" w:rsidDel="00000000" w:rsidP="00000000" w:rsidRDefault="00000000" w:rsidRPr="00000000" w14:paraId="00000040">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Vigneron, R., &amp; Gerkens, J.-F. (2000). </w:t>
      </w:r>
      <w:r w:rsidDel="00000000" w:rsidR="00000000" w:rsidRPr="00000000">
        <w:rPr>
          <w:rFonts w:ascii="Times New Roman" w:cs="Times New Roman" w:eastAsia="Times New Roman" w:hAnsi="Times New Roman"/>
          <w:i w:val="1"/>
          <w:iCs w:val="1"/>
          <w:sz w:val="24"/>
          <w:szCs w:val="24"/>
          <w:rtl w:val="0"/>
        </w:rPr>
        <w:t xml:space="preserve">The emancipation of women in ancient Rome</w:t>
      </w:r>
      <w:r w:rsidDel="00000000" w:rsidR="00000000" w:rsidRPr="00000000">
        <w:rPr>
          <w:rFonts w:ascii="Times New Roman" w:cs="Times New Roman" w:eastAsia="Times New Roman" w:hAnsi="Times New Roman"/>
          <w:sz w:val="24"/>
          <w:szCs w:val="24"/>
          <w:rtl w:val="0"/>
        </w:rPr>
        <w:t xml:space="preserve">. Revue Internationale des Droits de l’Antiquité, 47, 107–113.</w:t>
      </w:r>
    </w:p>
    <w:p w:rsidR="00000000" w:rsidDel="00000000" w:rsidP="00000000" w:rsidRDefault="00000000" w:rsidRPr="00000000" w14:paraId="00000041">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720"/>
        <w:rPr>
          <w:sz w:val="24"/>
          <w:szCs w:val="24"/>
        </w:rPr>
      </w:pPr>
      <w:r w:rsidDel="00000000" w:rsidR="00000000" w:rsidRPr="00000000">
        <w:rPr>
          <w:rtl w:val="0"/>
        </w:rPr>
      </w:r>
    </w:p>
    <w:p w:rsidR="00000000" w:rsidDel="00000000" w:rsidP="00000000" w:rsidRDefault="00000000" w:rsidRPr="00000000" w14:paraId="00000046">
      <w:pPr>
        <w:spacing w:line="480" w:lineRule="auto"/>
        <w:ind w:left="720"/>
        <w:rPr>
          <w:sz w:val="24"/>
          <w:szCs w:val="24"/>
        </w:rPr>
      </w:pPr>
      <w:r w:rsidDel="00000000" w:rsidR="00000000" w:rsidRPr="00000000">
        <w:rPr>
          <w:rtl w:val="0"/>
        </w:rPr>
      </w:r>
    </w:p>
    <w:p w:rsidR="00000000" w:rsidDel="00000000" w:rsidP="00000000" w:rsidRDefault="00000000" w:rsidRPr="00000000" w14:paraId="00000047">
      <w:pPr>
        <w:spacing w:line="480" w:lineRule="auto"/>
        <w:ind w:left="720"/>
        <w:rPr>
          <w:sz w:val="24"/>
          <w:szCs w:val="24"/>
        </w:rPr>
      </w:pPr>
      <w:r w:rsidDel="00000000" w:rsidR="00000000" w:rsidRPr="00000000">
        <w:rPr>
          <w:rtl w:val="0"/>
        </w:rPr>
      </w:r>
    </w:p>
    <w:p w:rsidR="00000000" w:rsidDel="00000000" w:rsidP="00000000" w:rsidRDefault="00000000" w:rsidRPr="00000000" w14:paraId="00000048">
      <w:pPr>
        <w:spacing w:line="480" w:lineRule="auto"/>
        <w:ind w:left="720"/>
        <w:rPr>
          <w:sz w:val="24"/>
          <w:szCs w:val="24"/>
        </w:rPr>
      </w:pPr>
      <w:r w:rsidDel="00000000" w:rsidR="00000000" w:rsidRPr="00000000">
        <w:rPr>
          <w:rtl w:val="0"/>
        </w:rPr>
      </w:r>
    </w:p>
    <w:p w:rsidR="00000000" w:rsidDel="00000000" w:rsidP="00000000" w:rsidRDefault="00000000" w:rsidRPr="00000000" w14:paraId="00000049">
      <w:pPr>
        <w:spacing w:line="480" w:lineRule="auto"/>
        <w:ind w:left="720"/>
        <w:rPr>
          <w:sz w:val="24"/>
          <w:szCs w:val="24"/>
        </w:rPr>
      </w:pPr>
      <w:r w:rsidDel="00000000" w:rsidR="00000000" w:rsidRPr="00000000">
        <w:rPr>
          <w:rtl w:val="0"/>
        </w:rPr>
      </w:r>
    </w:p>
    <w:p w:rsidR="00000000" w:rsidDel="00000000" w:rsidP="00000000" w:rsidRDefault="00000000" w:rsidRPr="00000000" w14:paraId="0000004A">
      <w:pPr>
        <w:spacing w:line="480" w:lineRule="auto"/>
        <w:ind w:left="720"/>
        <w:rPr>
          <w:sz w:val="24"/>
          <w:szCs w:val="24"/>
        </w:rPr>
      </w:pPr>
      <w:r w:rsidDel="00000000" w:rsidR="00000000" w:rsidRPr="00000000">
        <w:rPr>
          <w:rtl w:val="0"/>
        </w:rPr>
      </w:r>
    </w:p>
    <w:p w:rsidR="00000000" w:rsidDel="00000000" w:rsidP="00000000" w:rsidRDefault="00000000" w:rsidRPr="00000000" w14:paraId="0000004B">
      <w:pPr>
        <w:spacing w:line="480" w:lineRule="auto"/>
        <w:ind w:left="720"/>
        <w:rPr>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assicalwisdom.substack.com/p/women-of-ancient-rome" TargetMode="External"/><Relationship Id="rId10" Type="http://schemas.openxmlformats.org/officeDocument/2006/relationships/hyperlink" Target="https://rune.une.edu.au/entities/publication/98e7bf3b-599d-4d3c-8f21-fbb14a0343f1" TargetMode="External"/><Relationship Id="rId13" Type="http://schemas.openxmlformats.org/officeDocument/2006/relationships/hyperlink" Target="https://www.jstor.org/stable/3662127" TargetMode="External"/><Relationship Id="rId12" Type="http://schemas.openxmlformats.org/officeDocument/2006/relationships/hyperlink" Target="https://doi.org/10.25949/19427555.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4097/vzpvaf70" TargetMode="External"/><Relationship Id="rId14" Type="http://schemas.openxmlformats.org/officeDocument/2006/relationships/hyperlink" Target="https://www.historyofroyalwomen.com/the-royal-women/empress-lu-zhi-han-chinas-first-reigning-empres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halima.hasin@bracu.ac.bd" TargetMode="External"/><Relationship Id="rId8" Type="http://schemas.openxmlformats.org/officeDocument/2006/relationships/hyperlink" Target="https://www.worldhistory.org/article/1136/women-in-ancient-ch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