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40trjazq2vd" w:id="0"/>
      <w:bookmarkEnd w:id="0"/>
      <w:r w:rsidDel="00000000" w:rsidR="00000000" w:rsidRPr="00000000">
        <w:rPr>
          <w:b w:val="1"/>
          <w:sz w:val="34"/>
          <w:szCs w:val="34"/>
          <w:rtl w:val="0"/>
        </w:rPr>
        <w:t xml:space="preserve">Financial Portfolio 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c8qz8cbp2a2w"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Financial Portfolio Management System is a modern, interactive web application designed to help users efficiently manage their investments and financial assets. This project aims to provide a user-friendly interface for tracking and visualizing various types of investments, including stocks, bonds, commodities, cash, and ETFs. It integrates advanced data visualization techniques and robust data management features to support effective financial decision-making.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m061l24rxn2" w:id="2"/>
      <w:bookmarkEnd w:id="2"/>
      <w:r w:rsidDel="00000000" w:rsidR="00000000" w:rsidRPr="00000000">
        <w:rPr>
          <w:b w:val="1"/>
          <w:color w:val="000000"/>
          <w:sz w:val="26"/>
          <w:szCs w:val="26"/>
          <w:rtl w:val="0"/>
        </w:rPr>
        <w:t xml:space="preserve">Features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Investment Tracking</w:t>
      </w:r>
      <w:r w:rsidDel="00000000" w:rsidR="00000000" w:rsidRPr="00000000">
        <w:rPr>
          <w:rtl w:val="0"/>
        </w:rPr>
        <w:t xml:space="preserve">: Users can add, edit, and remove investments with support for both positive and negative values.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Interactive charts and graphs (bar and pie charts) provide a visual overview of investment distributions and trends.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Transaction History</w:t>
      </w:r>
      <w:r w:rsidDel="00000000" w:rsidR="00000000" w:rsidRPr="00000000">
        <w:rPr>
          <w:rtl w:val="0"/>
        </w:rPr>
        <w:t xml:space="preserve">: Maintains a detailed log of all investment transactions with options to view, edit, or remove entries.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Asset Balances</w:t>
      </w:r>
      <w:r w:rsidDel="00000000" w:rsidR="00000000" w:rsidRPr="00000000">
        <w:rPr>
          <w:rtl w:val="0"/>
        </w:rPr>
        <w:t xml:space="preserve">: Displays current balances for each investment type with automatic updates upon transactions.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Data Export</w:t>
      </w:r>
      <w:r w:rsidDel="00000000" w:rsidR="00000000" w:rsidRPr="00000000">
        <w:rPr>
          <w:rtl w:val="0"/>
        </w:rPr>
        <w:t xml:space="preserve">: Users can export investment data in CSV format, with options for additional export formats such as PDF and Excel in future updates.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Modern and responsive design with a focus on usability and aesthetic appeal, featuring dynamic charts and intuitive controls.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Dark Mode</w:t>
      </w:r>
      <w:r w:rsidDel="00000000" w:rsidR="00000000" w:rsidRPr="00000000">
        <w:rPr>
          <w:rtl w:val="0"/>
        </w:rPr>
        <w:t xml:space="preserve">: A toggle switch allows users to switch between light and dark modes for improved readability.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xu937jla4zq" w:id="3"/>
      <w:bookmarkEnd w:id="3"/>
      <w:r w:rsidDel="00000000" w:rsidR="00000000" w:rsidRPr="00000000">
        <w:rPr>
          <w:b w:val="1"/>
          <w:color w:val="000000"/>
          <w:sz w:val="26"/>
          <w:szCs w:val="26"/>
          <w:rtl w:val="0"/>
        </w:rPr>
        <w:t xml:space="preserve">Technologies Used</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 CSS, JavaScript, Chart.js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Styling</w:t>
      </w:r>
      <w:r w:rsidDel="00000000" w:rsidR="00000000" w:rsidRPr="00000000">
        <w:rPr>
          <w:rtl w:val="0"/>
        </w:rPr>
        <w:t xml:space="preserve">: Custom CSS for modern and responsive design</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Data Handling</w:t>
      </w:r>
      <w:r w:rsidDel="00000000" w:rsidR="00000000" w:rsidRPr="00000000">
        <w:rPr>
          <w:rtl w:val="0"/>
        </w:rPr>
        <w:t xml:space="preserve">: JavaScript for managing investment data and visualizations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Hosting</w:t>
      </w:r>
      <w:r w:rsidDel="00000000" w:rsidR="00000000" w:rsidRPr="00000000">
        <w:rPr>
          <w:rtl w:val="0"/>
        </w:rPr>
        <w:t xml:space="preserve">: Deployed on Vercel for scalable and reliable hosting</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rfxinwwr4l" w:id="4"/>
      <w:bookmarkEnd w:id="4"/>
      <w:r w:rsidDel="00000000" w:rsidR="00000000" w:rsidRPr="00000000">
        <w:rPr>
          <w:b w:val="1"/>
          <w:color w:val="000000"/>
          <w:sz w:val="26"/>
          <w:szCs w:val="26"/>
          <w:rtl w:val="0"/>
        </w:rPr>
        <w:t xml:space="preserve">Instructions for Use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Adding Investments</w:t>
      </w:r>
      <w:r w:rsidDel="00000000" w:rsidR="00000000" w:rsidRPr="00000000">
        <w:rPr>
          <w:rtl w:val="0"/>
        </w:rPr>
        <w:t xml:space="preserve">: Select the investment type from the dropdown menu, enter the investment name and amount, and click "Add Investment". Investments can be positive or negative values.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Editing Investments</w:t>
      </w:r>
      <w:r w:rsidDel="00000000" w:rsidR="00000000" w:rsidRPr="00000000">
        <w:rPr>
          <w:rtl w:val="0"/>
        </w:rPr>
        <w:t xml:space="preserve">: Click the "Edit" button next to an investment entry to update its details. Adjust the amount as needed, including both increases and decreases.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Removing Investments</w:t>
      </w:r>
      <w:r w:rsidDel="00000000" w:rsidR="00000000" w:rsidRPr="00000000">
        <w:rPr>
          <w:rtl w:val="0"/>
        </w:rPr>
        <w:t xml:space="preserve">: Use the "Remove" button to delete an investment entry from the list.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Viewing Charts</w:t>
      </w:r>
      <w:r w:rsidDel="00000000" w:rsidR="00000000" w:rsidRPr="00000000">
        <w:rPr>
          <w:rtl w:val="0"/>
        </w:rPr>
        <w:t xml:space="preserve">: Access the charts section to view graphical representations of your investment portfolio and asset balances.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Exporting Data</w:t>
      </w:r>
      <w:r w:rsidDel="00000000" w:rsidR="00000000" w:rsidRPr="00000000">
        <w:rPr>
          <w:rtl w:val="0"/>
        </w:rPr>
        <w:t xml:space="preserve">: Click the "Download Investment Data" button to export your investment data as a CSV file.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deum201kfu0g" w:id="5"/>
      <w:bookmarkEnd w:id="5"/>
      <w:r w:rsidDel="00000000" w:rsidR="00000000" w:rsidRPr="00000000">
        <w:rPr>
          <w:b w:val="1"/>
          <w:color w:val="000000"/>
          <w:sz w:val="26"/>
          <w:szCs w:val="26"/>
          <w:rtl w:val="0"/>
        </w:rPr>
        <w:t xml:space="preserve">Contact</w:t>
      </w:r>
    </w:p>
    <w:p w:rsidR="00000000" w:rsidDel="00000000" w:rsidP="00000000" w:rsidRDefault="00000000" w:rsidRPr="00000000" w14:paraId="00000018">
      <w:pPr>
        <w:spacing w:after="240" w:before="240" w:lineRule="auto"/>
        <w:rPr/>
      </w:pPr>
      <w:r w:rsidDel="00000000" w:rsidR="00000000" w:rsidRPr="00000000">
        <w:rPr>
          <w:rtl w:val="0"/>
        </w:rPr>
        <w:t xml:space="preserve">For any queries or support, please reach out through the contact form available on the website. We are here to assist you with any questions or issues related to the Financial Portfolio Management System.</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