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Acceptance Testing</w:t>
      </w:r>
    </w:p>
    <w:p>
      <w:pPr>
        <w:pStyle w:val="Normal"/>
        <w:jc w:val="center"/>
        <w:rPr/>
      </w:pPr>
      <w:r>
        <w:rPr>
          <w:b/>
          <w:sz w:val="28"/>
        </w:rPr>
        <w:t>UAT Execution &amp; Report Submission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 September 2026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________________________________________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Heading1"/>
        <w:rPr/>
      </w:pPr>
      <w:r>
        <w:rPr/>
        <w:t>1. Purpose of Document</w:t>
      </w:r>
    </w:p>
    <w:p>
      <w:pPr>
        <w:pStyle w:val="Normal"/>
        <w:rPr/>
      </w:pPr>
      <w:r>
        <w:rPr/>
        <w:t>The purpose of this document is to record the test coverage and acceptance status of the Incident Lifecycle Automation in ServiceNow project at the time of User Acceptance Testing (UAT).</w:t>
      </w:r>
    </w:p>
    <w:p>
      <w:pPr>
        <w:pStyle w:val="Heading1"/>
        <w:rPr/>
      </w:pPr>
      <w:r>
        <w:rPr/>
        <w:t>2. Defect Analysis</w:t>
      </w:r>
    </w:p>
    <w:p>
      <w:pPr>
        <w:pStyle w:val="Normal"/>
        <w:rPr/>
      </w:pPr>
      <w:r>
        <w:rPr/>
        <w:t>No UAT defects are recorded in the available project documentation. No severity-wise defect counts are invented.</w:t>
      </w:r>
    </w:p>
    <w:tbl>
      <w:tblPr>
        <w:tblStyle w:val="TableGrid"/>
        <w:tblW w:w="105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Resolution / Status</w:t>
            </w:r>
          </w:p>
        </w:tc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Count</w:t>
            </w:r>
          </w:p>
        </w:tc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 UAT defects recorded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No UAT defect data is documented.</w:t>
            </w:r>
          </w:p>
        </w:tc>
      </w:tr>
    </w:tbl>
    <w:p>
      <w:pPr>
        <w:pStyle w:val="Heading1"/>
        <w:rPr/>
      </w:pPr>
      <w:r>
        <w:rPr/>
        <w:t>3. Test Case Analysis</w:t>
      </w:r>
    </w:p>
    <w:p>
      <w:pPr>
        <w:pStyle w:val="Normal"/>
        <w:rPr/>
      </w:pPr>
      <w:r>
        <w:rPr/>
        <w:t>UAT was conducted during 13 September 2026 to 15 September 2026. The coverage contains 14 documented test cases for the implemented ServiceNow incident lifecycle.</w:t>
      </w:r>
    </w:p>
    <w:tbl>
      <w:tblPr>
        <w:tblStyle w:val="TableGrid"/>
        <w:tblW w:w="105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02"/>
        <w:gridCol w:w="2102"/>
        <w:gridCol w:w="2102"/>
        <w:gridCol w:w="2102"/>
        <w:gridCol w:w="2102"/>
      </w:tblGrid>
      <w:tr>
        <w:trPr/>
        <w:tc>
          <w:tcPr>
            <w:tcW w:w="210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Section</w:t>
            </w:r>
          </w:p>
        </w:tc>
        <w:tc>
          <w:tcPr>
            <w:tcW w:w="210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Total Cases</w:t>
            </w:r>
          </w:p>
        </w:tc>
        <w:tc>
          <w:tcPr>
            <w:tcW w:w="210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Not Tested</w:t>
            </w:r>
          </w:p>
        </w:tc>
        <w:tc>
          <w:tcPr>
            <w:tcW w:w="210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210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&amp; Service Setup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Assignment &amp; Level 2 Support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SLA &amp; Activity Tracking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Emergency Change &amp; Child Incidents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Resolution &amp; Knowledge Creation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Final Lifecycle Validation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Total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14</w:t>
            </w:r>
          </w:p>
        </w:tc>
      </w:tr>
    </w:tbl>
    <w:p>
      <w:pPr>
        <w:pStyle w:val="Heading1"/>
        <w:rPr/>
      </w:pPr>
      <w:r>
        <w:rPr/>
        <w:t>4. Test Case Details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52"/>
        <w:gridCol w:w="1751"/>
        <w:gridCol w:w="1753"/>
        <w:gridCol w:w="1752"/>
        <w:gridCol w:w="1751"/>
        <w:gridCol w:w="1753"/>
      </w:tblGrid>
      <w:tr>
        <w:trPr>
          <w:tblHeader w:val="true"/>
        </w:trPr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Scenario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Test Steps</w:t>
            </w:r>
          </w:p>
        </w:tc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Pass/Fail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Service and Service Offering setup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Remote Access and Corporate VPN are available.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Both are available for incident handling.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Remote Access and Corporate VPN were available.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an incident with Michael Hoefer, Corporate VPN, description and impact.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is created with the entered information.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incident was created with the required information.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Set Channel=Phone, Category=Network, Subcategory=VPN and required urgency/service/CI.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Classification is saved correctly.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classification was recorded and retained correctly.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Incomplete incident information (negative)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Attempt to complete an incident without required information.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Required information must be supplied before completion.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workflow required the necessary information before completion.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Review Knowledge / Agent Assist during investigation.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assistance is available.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/ Agent Assist was available during incident handling.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Assignment / reassignment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 or reassign the incident to the appropriate support group.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Correct assignment group and ownership are shown.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Assignment was completed correctly.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TC-007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investigation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Impersonate David Loo; open the VPN incident; Assign to me; review details and add work notes.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can investigate and document the incident.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Level 2 investigation and work notes were completed.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TC-008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SLA and activity tracking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Review Related Records, Task SLAs and incident activity.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SLA and activity information are visible.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Task SLA and activity information were visible.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TC-009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Emergency change integration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Change CI from ThickStation to PowerEdge; set On Hold/Awaiting Change; create and link emergency change.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Change is linked and the dependency is reflected.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emergency change was linked and the incident was placed On Hold for Awaiting Change.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TC-010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Child incident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Create a child incident from Related Records and save.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Child incident is created and listed under the parent.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child incident was created and linked to the parent.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resolution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Enter the specified probable cause, resolution code and resolution notes; resolve.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Incident becomes Resolved with resolution information recorded.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incident was resolved with the required resolution information.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article creation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Select Create Knowledge; use Knowledge Base=IT and Template=Standard; save.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Knowledge article is created and appears in Related Records.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The knowledge article was created and verified.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Parent-child resolution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parent and child incident states and activity.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Both are Resolved and the expected relationship is reflected.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Parent and child incidents were verified as Resolved.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TC-014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Final lifecycle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Verify change request, child incident, knowledge article, activity and SLA tracking.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All required lifecycle evidence is available.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All required related records and tracking were verified.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2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Heading1"/>
        <w:rPr/>
      </w:pPr>
      <w:r>
        <w:rPr/>
        <w:t>5. Bug Tracking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52"/>
        <w:gridCol w:w="1751"/>
        <w:gridCol w:w="1753"/>
        <w:gridCol w:w="1752"/>
        <w:gridCol w:w="1751"/>
        <w:gridCol w:w="1753"/>
      </w:tblGrid>
      <w:tr>
        <w:trPr>
          <w:tblHeader w:val="true"/>
        </w:trPr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Bug ID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Bug Description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Steps to reproduce</w:t>
            </w:r>
          </w:p>
        </w:tc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4"/>
                <w:szCs w:val="22"/>
                <w:lang w:val="en-US" w:eastAsia="en-US" w:bidi="ar-SA"/>
              </w:rPr>
              <w:t>Additional feedback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—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UAT defect recorded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Not applicable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—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defect recorded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No open UAT issue documented.</w:t>
            </w:r>
          </w:p>
        </w:tc>
      </w:tr>
    </w:tbl>
    <w:p>
      <w:pPr>
        <w:pStyle w:val="Heading1"/>
        <w:rPr/>
      </w:pPr>
      <w:r>
        <w:rPr/>
        <w:t>Sign-off</w:t>
      </w:r>
    </w:p>
    <w:p>
      <w:pPr>
        <w:pStyle w:val="Normal"/>
        <w:rPr/>
      </w:pPr>
      <w:r>
        <w:rPr/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56"/>
        <w:gridCol w:w="5256"/>
      </w:tblGrid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Tester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Mahitha Maha Lakshmi Narra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15 September 2026</w:t>
            </w:r>
          </w:p>
        </w:tc>
      </w:tr>
      <w:tr>
        <w:trPr>
          <w:trHeight w:val="187" w:hRule="atLeast"/>
        </w:trPr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___Mahitha.._________________________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Testing Period: 13 September 2026 to 15 September 2026. This period follows the completion of Phase 4, whose final sprint release date was 12 September 2026.</w:t>
      </w:r>
    </w:p>
    <w:p>
      <w:pPr>
        <w:pStyle w:val="ListBullet"/>
        <w:numPr>
          <w:ilvl w:val="0"/>
          <w:numId w:val="1"/>
        </w:numPr>
        <w:rPr/>
      </w:pPr>
      <w:r>
        <w:rPr/>
        <w:t>UAT covers positive and negative scenarios relevant to the implemented project.</w:t>
      </w:r>
    </w:p>
    <w:p>
      <w:pPr>
        <w:pStyle w:val="ListBullet"/>
        <w:numPr>
          <w:ilvl w:val="0"/>
          <w:numId w:val="1"/>
        </w:numPr>
        <w:rPr/>
      </w:pPr>
      <w:r>
        <w:rPr/>
        <w:t>No UAT defect is recorded in the available project documentation.</w:t>
      </w:r>
    </w:p>
    <w:p>
      <w:pPr>
        <w:pStyle w:val="ListBullet"/>
        <w:numPr>
          <w:ilvl w:val="0"/>
          <w:numId w:val="0"/>
        </w:numPr>
        <w:spacing w:before="0" w:after="200"/>
        <w:ind w:hanging="0" w:start="360"/>
        <w:contextualSpacing/>
        <w:rPr>
          <w:sz w:val="16"/>
        </w:rPr>
      </w:pPr>
      <w:r>
        <w:rPr>
          <w:sz w:val="16"/>
        </w:rPr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2</Pages>
  <Words>727</Words>
  <Characters>4219</Characters>
  <CharactersWithSpaces>4758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2026-09-19T16:16:59Z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