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2"/>
        </w:rPr>
        <w:t>Solution Requirements (Functional &amp; Non-functional)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8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Functional Requirements:</w:t>
      </w:r>
    </w:p>
    <w:p>
      <w:pPr>
        <w:pStyle w:val="Normal"/>
        <w:rPr/>
      </w:pPr>
      <w:r>
        <w:rPr/>
        <w:t>The following functional requirements define the proposed Incident Lifecycle Automation solution in ServiceNow.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w="364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 No.</w:t>
            </w:r>
          </w:p>
        </w:tc>
        <w:tc>
          <w:tcPr>
            <w:tcW w:w="364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364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Sub Requirement (Story / Sub-Task)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FR-1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Creation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Create incident record; capture caller, short description, description, service/CI and contact details.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FR-2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Set category/subcategory, impact, urgency and priority; associate relevant service/CI.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FR-3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Knowledge &amp; Agent Assist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Search relevant knowledge; suggest/attach knowledge articles to support resolution.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FR-4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Assignment &amp; Escalation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Assign to appropriate support group; reassign/escalate to Level 2 when required; maintain ownership.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FR-5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Investigation &amp; Resolution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Record work notes, findings, cause and resolution; track incident activity and SLA.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FR-6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Emergency Change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Create/link a change request when incident resolution requires an emergency change; track related records.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FR-7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Child Incident Management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Create child incidents for related user issues; maintain parent-child relationship and status visibility.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FR-8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Closure &amp; Knowledge Creation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Resolve/close incident with resolution details; create a knowledge article from reusable resolved information.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Non-functional Requirements: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w="364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NFR No.</w:t>
            </w:r>
          </w:p>
        </w:tc>
        <w:tc>
          <w:tcPr>
            <w:tcW w:w="364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Non-Functional Requirement</w:t>
            </w:r>
          </w:p>
        </w:tc>
        <w:tc>
          <w:tcPr>
            <w:tcW w:w="364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NFR-1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Usability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Provide a clear incident form/workspace with understandable fields, consistent navigation and easy access to knowledge.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NFR-2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Use role-based access and ServiceNow access controls so incident and related records are available only to authorized users.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NFR-3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Reliability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Maintain consistent incident state, assignment, activity and related-record updates throughout the lifecycle.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NFR-4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forms, searches, updates and workflow actions should respond within acceptable ServiceNow platform performance.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NFR-5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Use the ServiceNow cloud platform so incident records and workflow services remain accessible during support operations.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NFR-6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Scalability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Support increasing incident volume, support groups, knowledge records and related records without redesigning the core lifecycle.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16"/>
        </w:rPr>
        <w:t xml:space="preserve">Source basis: Solution Requirements template supplied for Project Design Phase-II. The template requires functional and non-functional requirements. 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301</Words>
  <Characters>2175</Characters>
  <CharactersWithSpaces>2416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2026-09-18T16:35:31Z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