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Ideation Phase</w:t>
      </w:r>
    </w:p>
    <w:p>
      <w:pPr>
        <w:pStyle w:val="Normal"/>
        <w:spacing w:before="0" w:after="160"/>
        <w:jc w:val="center"/>
        <w:rPr/>
      </w:pPr>
      <w:r>
        <w:rPr>
          <w:b/>
          <w:sz w:val="26"/>
        </w:rPr>
        <w:t>Brainstorm &amp; Idea Prioritization Template</w:t>
      </w:r>
    </w:p>
    <w:tbl>
      <w:tblPr>
        <w:tblStyle w:val="TableGrid"/>
        <w:tblW w:w="9936" w:type="dxa"/>
        <w:jc w:val="center"/>
        <w:tblInd w:w="0" w:type="dxa"/>
        <w:tblLayout w:type="fixed"/>
        <w:tblCellMar>
          <w:top w:w="70" w:type="dxa"/>
          <w:start w:w="90" w:type="dxa"/>
          <w:bottom w:w="70" w:type="dxa"/>
          <w:end w:w="90" w:type="dxa"/>
        </w:tblCellMar>
        <w:tblLook w:val="04a0" w:firstRow="1" w:noVBand="1" w:lastRow="0" w:firstColumn="1" w:lastColumn="0" w:noHBand="0"/>
      </w:tblPr>
      <w:tblGrid>
        <w:gridCol w:w="2880"/>
        <w:gridCol w:w="7056"/>
      </w:tblGrid>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Date</w:t>
            </w:r>
          </w:p>
        </w:tc>
        <w:tc>
          <w:tcPr>
            <w:tcW w:w="7056" w:type="dxa"/>
            <w:tcBorders/>
            <w:vAlign w:val="center"/>
          </w:tcPr>
          <w:p>
            <w:pPr>
              <w:pStyle w:val="Normal"/>
              <w:widowControl/>
              <w:spacing w:lineRule="auto" w:line="240" w:before="0" w:after="0"/>
              <w:jc w:val="start"/>
              <w:rPr>
                <w:rFonts w:ascii="Arial" w:hAnsi="Arial"/>
                <w:b w:val="false"/>
                <w:sz w:val="18"/>
              </w:rPr>
            </w:pPr>
            <w:r>
              <w:rPr>
                <w:rFonts w:eastAsia="ＭＳ 明朝" w:cs=""/>
                <w:kern w:val="0"/>
                <w:szCs w:val="22"/>
                <w:lang w:val="en-US" w:eastAsia="en-US" w:bidi="ar-SA"/>
              </w:rPr>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Team ID</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____________________________</w:t>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Project Name</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Incident Lifecycle Automation in ServiceNow</w:t>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Maximum Marks</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4 Marks</w:t>
            </w:r>
          </w:p>
        </w:tc>
      </w:tr>
    </w:tbl>
    <w:p>
      <w:pPr>
        <w:pStyle w:val="Normal"/>
        <w:spacing w:before="0" w:after="20"/>
        <w:rPr/>
      </w:pPr>
      <w:r>
        <w:rPr/>
      </w:r>
    </w:p>
    <w:p>
      <w:pPr>
        <w:pStyle w:val="Normal"/>
        <w:spacing w:before="120" w:after="60"/>
        <w:rPr/>
      </w:pPr>
      <w:r>
        <w:rPr>
          <w:b/>
          <w:sz w:val="22"/>
        </w:rPr>
        <w:t>Brainstorm &amp; Idea Prioritization</w:t>
      </w:r>
    </w:p>
    <w:p>
      <w:pPr>
        <w:pStyle w:val="Normal"/>
        <w:jc w:val="both"/>
        <w:rPr/>
      </w:pPr>
      <w:r>
        <w:rPr/>
        <w:t>The brainstorming activity was conducted to identify possible solutions for improving the Incident Management lifecycle. The ideas focus on standardized incident handling, knowledge support, escalation, change integration, related incidents, resolution documentation, and SLA visibility.</w:t>
      </w:r>
    </w:p>
    <w:p>
      <w:pPr>
        <w:pStyle w:val="Normal"/>
        <w:spacing w:before="120" w:after="60"/>
        <w:rPr/>
      </w:pPr>
      <w:r>
        <w:rPr>
          <w:b/>
          <w:sz w:val="22"/>
        </w:rPr>
        <w:t>Step-1: Team Gathering, Collaboration and Select the Problem Statement</w:t>
      </w:r>
    </w:p>
    <w:p>
      <w:pPr>
        <w:pStyle w:val="Normal"/>
        <w:jc w:val="both"/>
        <w:rPr/>
      </w:pPr>
      <w:r>
        <w:rPr>
          <w:b/>
        </w:rPr>
        <w:t xml:space="preserve">Selected Problem Statement: </w:t>
      </w:r>
      <w:r>
        <w:rPr/>
        <w:t>How might we automate and standardize the Incident Management lifecycle in ServiceNow so that incidents can be recorded, classified, assigned, escalated, resolved, and tracked efficiently while improving SLA visibility and resolution management?</w:t>
      </w:r>
    </w:p>
    <w:p>
      <w:pPr>
        <w:pStyle w:val="Normal"/>
        <w:spacing w:before="120" w:after="60"/>
        <w:rPr/>
      </w:pPr>
      <w:r>
        <w:rPr>
          <w:b/>
          <w:sz w:val="22"/>
        </w:rPr>
        <w:t>Step-2: Brainstorm, Idea Listing and Grouping</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84"/>
        <w:gridCol w:w="5184"/>
      </w:tblGrid>
      <w:tr>
        <w:trPr/>
        <w:tc>
          <w:tcPr>
            <w:tcW w:w="5184"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Idea Group</w:t>
            </w:r>
          </w:p>
        </w:tc>
        <w:tc>
          <w:tcPr>
            <w:tcW w:w="5184"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Brainstormed Ideas</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Incident Creation &amp; Classification</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Centralized incident record creation</w:t>
              <w:br/>
              <w:t>• Standardized incident classification</w:t>
              <w:br/>
              <w:t>• Priority based on impact and urgency</w:t>
              <w:br/>
              <w:t>• Service and Configuration Item association</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Knowledge Management</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Agent Assist knowledge integration</w:t>
              <w:br/>
              <w:t>• Attach relevant knowledge articles to incidents</w:t>
              <w:br/>
              <w:t>• Create knowledge articles from resolved incidents</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Assignment &amp; Escalation</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Assignment to appropriate support groups</w:t>
              <w:br/>
              <w:t>• Level 2 technical investigation</w:t>
              <w:br/>
              <w:t>• Incident ownership and work-notes tracking</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Change Management</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Emergency change request creation</w:t>
              <w:br/>
              <w:t>• Link change requests with incidents</w:t>
              <w:br/>
              <w:t>• Place incident on hold while awaiting change</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Related Incident Management</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Create child incidents for related user issues</w:t>
              <w:br/>
              <w:t>• Link child incidents to the parent incident</w:t>
              <w:br/>
              <w:t>• Track parent-child resolution</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SLA &amp; Validation</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 xml:space="preserve">• </w:t>
            </w:r>
            <w:r>
              <w:rPr>
                <w:rFonts w:eastAsia="ＭＳ 明朝" w:cs=""/>
                <w:b w:val="false"/>
                <w:kern w:val="0"/>
                <w:sz w:val="17"/>
                <w:szCs w:val="22"/>
                <w:lang w:val="en-US" w:eastAsia="en-US" w:bidi="ar-SA"/>
              </w:rPr>
              <w:t>SLA tracking</w:t>
              <w:br/>
              <w:t>• Activity and resolution tracking</w:t>
              <w:br/>
              <w:t>• End-to-end lifecycle validation</w:t>
              <w:br/>
              <w:t>• Testing of multi-team collaboration</w:t>
            </w:r>
          </w:p>
        </w:tc>
      </w:tr>
    </w:tbl>
    <w:p>
      <w:pPr>
        <w:pStyle w:val="Normal"/>
        <w:spacing w:before="120" w:after="60"/>
        <w:rPr/>
      </w:pPr>
      <w:r>
        <w:rPr>
          <w:b/>
          <w:sz w:val="22"/>
        </w:rPr>
        <w:t>Step-3: Idea Prioritization</w:t>
      </w:r>
    </w:p>
    <w:p>
      <w:pPr>
        <w:pStyle w:val="Normal"/>
        <w:jc w:val="both"/>
        <w:rPr/>
      </w:pPr>
      <w:r>
        <w:rPr/>
        <w:t>The ideas were considered using the template's Importance–Feasibility matrix. Core lifecycle capabilities are positioned as high-importance items, while supporting tracking and validation activities are positioned according to their implementation feasibility.</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84"/>
        <w:gridCol w:w="5184"/>
      </w:tblGrid>
      <w:tr>
        <w:trPr/>
        <w:tc>
          <w:tcPr>
            <w:tcW w:w="5184"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Importance–Feasibility Position</w:t>
            </w:r>
          </w:p>
        </w:tc>
        <w:tc>
          <w:tcPr>
            <w:tcW w:w="5184"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Ideas to Place in the Matrix</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High Importance / High Feasibility</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Incident creation; Incident classification; Knowledge integration; Assignment/reassignment; SLA tracking</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High Importance / Moderate Feasibility</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Level 2 investigation; Emergency change creation; Child incident creation; Knowledge creation</w:t>
            </w:r>
          </w:p>
        </w:tc>
      </w:tr>
      <w:tr>
        <w:trPr/>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Moderate Importance / High Feasibility</w:t>
            </w:r>
          </w:p>
        </w:tc>
        <w:tc>
          <w:tcPr>
            <w:tcW w:w="5184" w:type="dxa"/>
            <w:tcBorders/>
            <w:tcMar>
              <w:top w:w="70" w:type="dxa"/>
              <w:start w:w="90" w:type="dxa"/>
              <w:bottom w:w="70" w:type="dxa"/>
              <w:end w:w="9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Watch-list updates; Work-notes tracking; Activity tracking; Final validation</w:t>
            </w:r>
          </w:p>
        </w:tc>
      </w:tr>
    </w:tbl>
    <w:p>
      <w:pPr>
        <w:pStyle w:val="Normal"/>
        <w:spacing w:before="100" w:after="80"/>
        <w:rPr/>
      </w:pPr>
      <w:r>
        <w:rPr>
          <w:b/>
        </w:rPr>
        <w:t xml:space="preserve">Reference: </w:t>
      </w:r>
      <w:r>
        <w:rPr/>
        <w:t>https://www.mural.co/templates/brainstorm-and-idea-prioritization</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80"/>
      <w:outlineLvl w:val="0"/>
    </w:pPr>
    <w:rPr>
      <w:rFonts w:ascii="Calibri" w:hAnsi="Calibri" w:eastAsia="ＭＳ ゴシック" w:cs="" w:asciiTheme="majorHAnsi" w:cstheme="majorBidi" w:eastAsiaTheme="majorEastAsia" w:hAnsiTheme="majorHAnsi"/>
      <w:b/>
      <w:bCs/>
      <w:color w:themeColor="accent1" w:themeShade="bf" w:val="365F91"/>
      <w:sz w:val="26"/>
      <w:szCs w:val="28"/>
    </w:rPr>
  </w:style>
  <w:style w:type="paragraph" w:styleId="Heading2">
    <w:name w:val="heading 2"/>
    <w:basedOn w:val="Normal"/>
    <w:next w:val="Normal"/>
    <w:link w:val="Heading2Char"/>
    <w:uiPriority w:val="9"/>
    <w:unhideWhenUsed/>
    <w:qFormat/>
    <w:rsid w:val="00fc693f"/>
    <w:pPr>
      <w:keepNext w:val="true"/>
      <w:keepLines/>
      <w:spacing w:before="120" w:after="80"/>
      <w:outlineLvl w:val="1"/>
    </w:pPr>
    <w:rPr>
      <w:rFonts w:ascii="Calibri" w:hAnsi="Calibri" w:eastAsia="ＭＳ ゴシック"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20" w:after="8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333</Words>
  <Characters>2341</Characters>
  <CharactersWithSpaces>2633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2026-09-18T16:23:52Z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