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Ideation Phase</w:t>
      </w:r>
    </w:p>
    <w:p>
      <w:pPr>
        <w:pStyle w:val="Normal"/>
        <w:spacing w:before="0" w:after="160"/>
        <w:jc w:val="center"/>
        <w:rPr/>
      </w:pPr>
      <w:r>
        <w:rPr>
          <w:b/>
          <w:sz w:val="26"/>
        </w:rPr>
        <w:t>Define the Problem Statements</w:t>
      </w:r>
    </w:p>
    <w:tbl>
      <w:tblPr>
        <w:tblStyle w:val="TableGrid"/>
        <w:tblW w:w="9936" w:type="dxa"/>
        <w:jc w:val="center"/>
        <w:tblInd w:w="0" w:type="dxa"/>
        <w:tblLayout w:type="fixed"/>
        <w:tblCellMar>
          <w:top w:w="70" w:type="dxa"/>
          <w:start w:w="90" w:type="dxa"/>
          <w:bottom w:w="70" w:type="dxa"/>
          <w:end w:w="90" w:type="dxa"/>
        </w:tblCellMar>
        <w:tblLook w:val="04a0" w:firstRow="1" w:noVBand="1" w:lastRow="0" w:firstColumn="1" w:lastColumn="0" w:noHBand="0"/>
      </w:tblPr>
      <w:tblGrid>
        <w:gridCol w:w="2880"/>
        <w:gridCol w:w="7056"/>
      </w:tblGrid>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Date</w:t>
            </w:r>
          </w:p>
        </w:tc>
        <w:tc>
          <w:tcPr>
            <w:tcW w:w="7056" w:type="dxa"/>
            <w:tcBorders/>
            <w:vAlign w:val="center"/>
          </w:tcPr>
          <w:p>
            <w:pPr>
              <w:pStyle w:val="Normal"/>
              <w:widowControl/>
              <w:spacing w:lineRule="auto" w:line="240" w:before="0" w:after="0"/>
              <w:jc w:val="start"/>
              <w:rPr>
                <w:rFonts w:ascii="Arial" w:hAnsi="Arial"/>
                <w:b w:val="false"/>
                <w:sz w:val="18"/>
              </w:rPr>
            </w:pPr>
            <w:r>
              <w:rPr>
                <w:rFonts w:eastAsia="ＭＳ 明朝" w:cs=""/>
                <w:kern w:val="0"/>
                <w:szCs w:val="22"/>
                <w:lang w:val="en-US" w:eastAsia="en-US" w:bidi="ar-SA"/>
              </w:rPr>
            </w:r>
          </w:p>
        </w:tc>
      </w:tr>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Team ID</w:t>
            </w:r>
          </w:p>
        </w:tc>
        <w:tc>
          <w:tcPr>
            <w:tcW w:w="70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____________________________</w:t>
            </w:r>
          </w:p>
        </w:tc>
      </w:tr>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Project Name</w:t>
            </w:r>
          </w:p>
        </w:tc>
        <w:tc>
          <w:tcPr>
            <w:tcW w:w="70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Incident Lifecycle Automation in ServiceNow</w:t>
            </w:r>
          </w:p>
        </w:tc>
      </w:tr>
      <w:tr>
        <w:trPr/>
        <w:tc>
          <w:tcPr>
            <w:tcW w:w="288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Maximum Marks</w:t>
            </w:r>
          </w:p>
        </w:tc>
        <w:tc>
          <w:tcPr>
            <w:tcW w:w="70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2 Marks</w:t>
            </w:r>
          </w:p>
        </w:tc>
      </w:tr>
    </w:tbl>
    <w:p>
      <w:pPr>
        <w:pStyle w:val="Normal"/>
        <w:spacing w:before="0" w:after="20"/>
        <w:rPr/>
      </w:pPr>
      <w:r>
        <w:rPr/>
      </w:r>
    </w:p>
    <w:p>
      <w:pPr>
        <w:pStyle w:val="Normal"/>
        <w:spacing w:before="120" w:after="60"/>
        <w:rPr/>
      </w:pPr>
      <w:r>
        <w:rPr>
          <w:b/>
          <w:sz w:val="22"/>
        </w:rPr>
        <w:t>Customer Problem Statement Template</w:t>
      </w:r>
    </w:p>
    <w:p>
      <w:pPr>
        <w:pStyle w:val="Normal"/>
        <w:jc w:val="both"/>
        <w:rPr/>
      </w:pPr>
      <w:r>
        <w:rPr/>
        <w:t>The problem statements are written from the perspective of the primary users of the incident-management process. They identify the user's goal, barriers, underlying reason, and resulting feeling.</w:t>
      </w:r>
    </w:p>
    <w:tbl>
      <w:tblPr>
        <w:tblStyle w:val="TableGrid"/>
        <w:tblW w:w="10656" w:type="dxa"/>
        <w:jc w:val="center"/>
        <w:tblInd w:w="0" w:type="dxa"/>
        <w:tblLayout w:type="fixed"/>
        <w:tblCellMar>
          <w:top w:w="70" w:type="dxa"/>
          <w:start w:w="65" w:type="dxa"/>
          <w:bottom w:w="70" w:type="dxa"/>
          <w:end w:w="65" w:type="dxa"/>
        </w:tblCellMar>
        <w:tblLook w:val="04a0" w:firstRow="1" w:noVBand="1" w:lastRow="0" w:firstColumn="1" w:lastColumn="0" w:noHBand="0"/>
      </w:tblPr>
      <w:tblGrid>
        <w:gridCol w:w="935"/>
        <w:gridCol w:w="1801"/>
        <w:gridCol w:w="1800"/>
        <w:gridCol w:w="2087"/>
        <w:gridCol w:w="2089"/>
        <w:gridCol w:w="1944"/>
      </w:tblGrid>
      <w:tr>
        <w:trPr/>
        <w:tc>
          <w:tcPr>
            <w:tcW w:w="935"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Problem Statement (PS)</w:t>
            </w:r>
          </w:p>
        </w:tc>
        <w:tc>
          <w:tcPr>
            <w:tcW w:w="1801"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I am (Customer)</w:t>
            </w:r>
          </w:p>
        </w:tc>
        <w:tc>
          <w:tcPr>
            <w:tcW w:w="1800"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I’m trying to</w:t>
            </w:r>
          </w:p>
        </w:tc>
        <w:tc>
          <w:tcPr>
            <w:tcW w:w="2087"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But</w:t>
            </w:r>
          </w:p>
        </w:tc>
        <w:tc>
          <w:tcPr>
            <w:tcW w:w="2089"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Because</w:t>
            </w:r>
          </w:p>
        </w:tc>
        <w:tc>
          <w:tcPr>
            <w:tcW w:w="1944" w:type="dxa"/>
            <w:tcBorders/>
            <w:shd w:fill="D9EAF7"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6"/>
                <w:szCs w:val="22"/>
                <w:lang w:val="en-US" w:eastAsia="en-US" w:bidi="ar-SA"/>
              </w:rPr>
              <w:t>Which makes me feel</w:t>
            </w:r>
          </w:p>
        </w:tc>
      </w:tr>
      <w:tr>
        <w:trPr/>
        <w:tc>
          <w:tcPr>
            <w:tcW w:w="935" w:type="dxa"/>
            <w:tcBorders/>
            <w:tcMar>
              <w:top w:w="80" w:type="dxa"/>
              <w:start w:w="60" w:type="dxa"/>
              <w:bottom w:w="80" w:type="dxa"/>
              <w:end w:w="6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5"/>
                <w:szCs w:val="22"/>
                <w:lang w:val="en-US" w:eastAsia="en-US" w:bidi="ar-SA"/>
              </w:rPr>
              <w:t>PS-1</w:t>
            </w:r>
          </w:p>
        </w:tc>
        <w:tc>
          <w:tcPr>
            <w:tcW w:w="1801"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An employee who needs IT support</w:t>
            </w:r>
          </w:p>
        </w:tc>
        <w:tc>
          <w:tcPr>
            <w:tcW w:w="1800"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Report an IT incident and get it resolved quickly</w:t>
            </w:r>
          </w:p>
        </w:tc>
        <w:tc>
          <w:tcPr>
            <w:tcW w:w="2087"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My issue may not be consistently recorded, classified, assigned, or tracked</w:t>
            </w:r>
          </w:p>
        </w:tc>
        <w:tc>
          <w:tcPr>
            <w:tcW w:w="2089"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Incident handling may involve different communication channels and manual processes</w:t>
            </w:r>
          </w:p>
        </w:tc>
        <w:tc>
          <w:tcPr>
            <w:tcW w:w="1944"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Frustrated and uncertain about the status and resolution of the issue</w:t>
            </w:r>
          </w:p>
        </w:tc>
      </w:tr>
      <w:tr>
        <w:trPr/>
        <w:tc>
          <w:tcPr>
            <w:tcW w:w="935" w:type="dxa"/>
            <w:tcBorders/>
            <w:tcMar>
              <w:top w:w="80" w:type="dxa"/>
              <w:start w:w="60" w:type="dxa"/>
              <w:bottom w:w="80" w:type="dxa"/>
              <w:end w:w="6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5"/>
                <w:szCs w:val="22"/>
                <w:lang w:val="en-US" w:eastAsia="en-US" w:bidi="ar-SA"/>
              </w:rPr>
              <w:t>PS-2</w:t>
            </w:r>
          </w:p>
        </w:tc>
        <w:tc>
          <w:tcPr>
            <w:tcW w:w="1801"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 Service Desk agent responsible for handling IT incidents</w:t>
            </w:r>
          </w:p>
        </w:tc>
        <w:tc>
          <w:tcPr>
            <w:tcW w:w="1800"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Log, classify, assign, monitor, and resolve incidents efficiently</w:t>
            </w:r>
          </w:p>
        </w:tc>
        <w:tc>
          <w:tcPr>
            <w:tcW w:w="2087"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Important incident information, knowledge, related changes, and SLA details may not be available in a structured manner</w:t>
            </w:r>
          </w:p>
        </w:tc>
        <w:tc>
          <w:tcPr>
            <w:tcW w:w="2089"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Incident activities can require coordination across different support teams and related records</w:t>
            </w:r>
          </w:p>
        </w:tc>
        <w:tc>
          <w:tcPr>
            <w:tcW w:w="1944" w:type="dxa"/>
            <w:tcBorders/>
            <w:tcMar>
              <w:top w:w="80" w:type="dxa"/>
              <w:start w:w="60" w:type="dxa"/>
              <w:bottom w:w="80" w:type="dxa"/>
              <w:end w:w="6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Overwhelmed and concerned about delays and SLA compliance</w:t>
            </w:r>
          </w:p>
        </w:tc>
      </w:tr>
    </w:tbl>
    <w:p>
      <w:pPr>
        <w:pStyle w:val="Normal"/>
        <w:spacing w:before="120" w:after="60"/>
        <w:rPr/>
      </w:pPr>
      <w:r>
        <w:rPr>
          <w:b/>
          <w:sz w:val="22"/>
        </w:rPr>
        <w:t>Final Problem Statements</w:t>
      </w:r>
    </w:p>
    <w:p>
      <w:pPr>
        <w:pStyle w:val="Normal"/>
        <w:spacing w:before="0" w:after="40"/>
        <w:ind w:hanging="173" w:start="259"/>
        <w:rPr/>
      </w:pPr>
      <w:r>
        <w:rPr>
          <w:sz w:val="17"/>
        </w:rPr>
        <w:t xml:space="preserve">• </w:t>
      </w:r>
      <w:r>
        <w:rPr>
          <w:sz w:val="17"/>
        </w:rPr>
        <w:t>I am an employee who needs IT support. I’m trying to report an IT incident and get it resolved quickly, but my issue may not be consistently recorded, classified, assigned, or tracked because incident handling may involve different communication channels and manual processes, which makes me feel frustrated and uncertain about the status and resolution of my issue.</w:t>
      </w:r>
    </w:p>
    <w:p>
      <w:pPr>
        <w:pStyle w:val="Normal"/>
        <w:spacing w:before="0" w:after="40"/>
        <w:ind w:hanging="173" w:start="259"/>
        <w:rPr/>
      </w:pPr>
      <w:r>
        <w:rPr>
          <w:sz w:val="17"/>
        </w:rPr>
        <w:t xml:space="preserve">• </w:t>
      </w:r>
      <w:r>
        <w:rPr>
          <w:sz w:val="17"/>
        </w:rPr>
        <w:t>I am a Service Desk agent responsible for handling IT incidents. I’m trying to log, classify, assign, monitor, and resolve incidents efficiently, but important incident information, knowledge, related changes, and SLA details may not be available in a structured manner because incident activities can require coordination across different support teams and related records, which makes me feel overwhelmed and concerned about delays and SLA compliance.</w:t>
      </w:r>
    </w:p>
    <w:p>
      <w:pPr>
        <w:pStyle w:val="Normal"/>
        <w:widowControl/>
        <w:bidi w:val="0"/>
        <w:spacing w:lineRule="auto" w:line="276" w:before="0" w:after="80"/>
        <w:jc w:val="start"/>
        <w:rPr/>
      </w:pPr>
      <w:r>
        <w:rPr>
          <w:b/>
        </w:rPr>
        <w:t xml:space="preserve">Reference: </w:t>
      </w:r>
      <w:r>
        <w:rPr/>
        <w:t>https://miro.com/templates/customer-problem-statement/</w:t>
      </w:r>
    </w:p>
    <w:sectPr>
      <w:type w:val="nextPage"/>
      <w:pgSz w:w="12240" w:h="15840"/>
      <w:pgMar w:left="936" w:right="936"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80"/>
      <w:outlineLvl w:val="0"/>
    </w:pPr>
    <w:rPr>
      <w:rFonts w:ascii="Calibri" w:hAnsi="Calibri" w:eastAsia="ＭＳ ゴシック" w:cs="" w:asciiTheme="majorHAnsi" w:cstheme="majorBidi" w:eastAsiaTheme="majorEastAsia" w:hAnsiTheme="majorHAnsi"/>
      <w:b/>
      <w:bCs/>
      <w:color w:themeColor="accent1" w:themeShade="bf" w:val="365F91"/>
      <w:sz w:val="26"/>
      <w:szCs w:val="28"/>
    </w:rPr>
  </w:style>
  <w:style w:type="paragraph" w:styleId="Heading2">
    <w:name w:val="heading 2"/>
    <w:basedOn w:val="Normal"/>
    <w:next w:val="Normal"/>
    <w:link w:val="Heading2Char"/>
    <w:uiPriority w:val="9"/>
    <w:unhideWhenUsed/>
    <w:qFormat/>
    <w:rsid w:val="00fc693f"/>
    <w:pPr>
      <w:keepNext w:val="true"/>
      <w:keepLines/>
      <w:spacing w:before="120" w:after="80"/>
      <w:outlineLvl w:val="1"/>
    </w:pPr>
    <w:rPr>
      <w:rFonts w:ascii="Calibri" w:hAnsi="Calibri" w:eastAsia="ＭＳ ゴシック" w:cs="" w:asciiTheme="majorHAnsi" w:cstheme="majorBidi" w:eastAsiaTheme="majorEastAsia" w:hAnsiTheme="majorHAnsi"/>
      <w:b/>
      <w:bCs/>
      <w:color w:themeColor="accent1" w:val="4F81BD"/>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20" w:after="80"/>
      <w:contextualSpacing/>
    </w:pPr>
    <w:rPr>
      <w:rFonts w:ascii="Calibri" w:hAnsi="Calibri" w:eastAsia="ＭＳ ゴシック" w:cs="" w:asciiTheme="majorHAnsi" w:cstheme="majorBidi" w:eastAsiaTheme="majorEastAsia" w:hAnsiTheme="majorHAnsi"/>
      <w:b/>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Pages>
  <Words>300</Words>
  <Characters>1821</Characters>
  <CharactersWithSpaces>2088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2026-09-18T16:28:02Z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