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b/>
          <w:sz w:val="28"/>
        </w:rPr>
        <w:t>Project Design Phase</w:t>
      </w:r>
    </w:p>
    <w:p>
      <w:pPr>
        <w:pStyle w:val="Normal"/>
        <w:spacing w:lineRule="auto" w:line="240" w:before="0" w:after="60"/>
        <w:jc w:val="center"/>
        <w:rPr/>
      </w:pPr>
      <w:r>
        <w:rPr>
          <w:b/>
          <w:sz w:val="24"/>
        </w:rPr>
        <w:t>Proposed Solution Template</w:t>
      </w:r>
    </w:p>
    <w:tbl>
      <w:tblPr>
        <w:tblW w:w="1080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400"/>
        <w:gridCol w:w="5400"/>
      </w:tblGrid>
      <w:tr>
        <w:trPr/>
        <w:tc>
          <w:tcPr>
            <w:tcW w:w="540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b/>
                <w:sz w:val="17"/>
              </w:rPr>
              <w:t>Date</w:t>
            </w:r>
          </w:p>
        </w:tc>
        <w:tc>
          <w:tcPr>
            <w:tcW w:w="540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b w:val="false"/>
                <w:sz w:val="17"/>
              </w:rPr>
              <w:t>________________________________________</w:t>
            </w:r>
          </w:p>
        </w:tc>
      </w:tr>
      <w:tr>
        <w:trPr/>
        <w:tc>
          <w:tcPr>
            <w:tcW w:w="540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b/>
                <w:sz w:val="17"/>
              </w:rPr>
              <w:t>Team ID</w:t>
            </w:r>
          </w:p>
        </w:tc>
        <w:tc>
          <w:tcPr>
            <w:tcW w:w="540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b w:val="false"/>
                <w:sz w:val="17"/>
              </w:rPr>
              <w:t>________________________________________</w:t>
            </w:r>
          </w:p>
        </w:tc>
      </w:tr>
      <w:tr>
        <w:trPr/>
        <w:tc>
          <w:tcPr>
            <w:tcW w:w="540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b/>
                <w:sz w:val="17"/>
              </w:rPr>
              <w:t>Project Name</w:t>
            </w:r>
          </w:p>
        </w:tc>
        <w:tc>
          <w:tcPr>
            <w:tcW w:w="540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b w:val="false"/>
                <w:sz w:val="17"/>
              </w:rPr>
              <w:t>Incident Lifecycle Automation in ServiceNow</w:t>
            </w:r>
          </w:p>
        </w:tc>
      </w:tr>
      <w:tr>
        <w:trPr/>
        <w:tc>
          <w:tcPr>
            <w:tcW w:w="540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b/>
                <w:sz w:val="17"/>
              </w:rPr>
              <w:t>Maximum Marks</w:t>
            </w:r>
          </w:p>
        </w:tc>
        <w:tc>
          <w:tcPr>
            <w:tcW w:w="540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b w:val="false"/>
                <w:sz w:val="17"/>
              </w:rPr>
              <w:t>2 Marks</w:t>
            </w:r>
          </w:p>
        </w:tc>
      </w:tr>
    </w:tbl>
    <w:p>
      <w:pPr>
        <w:pStyle w:val="Normal"/>
        <w:spacing w:lineRule="auto" w:line="240" w:before="0" w:after="0"/>
        <w:rPr>
          <w:b w:val="false"/>
          <w:sz w:val="16"/>
        </w:rPr>
      </w:pPr>
      <w:r>
        <w:rPr/>
      </w:r>
    </w:p>
    <w:tbl>
      <w:tblPr>
        <w:tblW w:w="1080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600"/>
        <w:gridCol w:w="3600"/>
        <w:gridCol w:w="3600"/>
      </w:tblGrid>
      <w:tr>
        <w:trPr/>
        <w:tc>
          <w:tcPr>
            <w:tcW w:w="3600" w:type="dxa"/>
            <w:tcBorders>
              <w:top w:val="single" w:sz="6" w:space="0" w:color="000000"/>
              <w:start w:val="single" w:sz="6" w:space="0" w:color="000000"/>
              <w:bottom w:val="single" w:sz="6" w:space="0" w:color="000000"/>
              <w:end w:val="single" w:sz="6" w:space="0" w:color="000000"/>
            </w:tcBorders>
          </w:tcPr>
          <w:p>
            <w:pPr>
              <w:pStyle w:val="Normal"/>
              <w:spacing w:before="0" w:after="200"/>
              <w:jc w:val="center"/>
              <w:rPr/>
            </w:pPr>
            <w:r>
              <w:rPr>
                <w:b/>
                <w:sz w:val="17"/>
              </w:rPr>
              <w:t>S.No.</w:t>
            </w:r>
          </w:p>
        </w:tc>
        <w:tc>
          <w:tcPr>
            <w:tcW w:w="3600" w:type="dxa"/>
            <w:tcBorders>
              <w:top w:val="single" w:sz="6" w:space="0" w:color="000000"/>
              <w:start w:val="single" w:sz="6" w:space="0" w:color="000000"/>
              <w:bottom w:val="single" w:sz="6" w:space="0" w:color="000000"/>
              <w:end w:val="single" w:sz="6" w:space="0" w:color="000000"/>
            </w:tcBorders>
          </w:tcPr>
          <w:p>
            <w:pPr>
              <w:pStyle w:val="Normal"/>
              <w:spacing w:before="0" w:after="200"/>
              <w:jc w:val="center"/>
              <w:rPr/>
            </w:pPr>
            <w:r>
              <w:rPr>
                <w:b/>
                <w:sz w:val="17"/>
              </w:rPr>
              <w:t>Parameter</w:t>
            </w:r>
          </w:p>
        </w:tc>
        <w:tc>
          <w:tcPr>
            <w:tcW w:w="3600" w:type="dxa"/>
            <w:tcBorders>
              <w:top w:val="single" w:sz="6" w:space="0" w:color="000000"/>
              <w:start w:val="single" w:sz="6" w:space="0" w:color="000000"/>
              <w:bottom w:val="single" w:sz="6" w:space="0" w:color="000000"/>
              <w:end w:val="single" w:sz="6" w:space="0" w:color="000000"/>
            </w:tcBorders>
          </w:tcPr>
          <w:p>
            <w:pPr>
              <w:pStyle w:val="Normal"/>
              <w:spacing w:before="0" w:after="200"/>
              <w:jc w:val="center"/>
              <w:rPr/>
            </w:pPr>
            <w:r>
              <w:rPr>
                <w:b/>
                <w:sz w:val="17"/>
              </w:rPr>
              <w:t>Description</w:t>
            </w:r>
          </w:p>
        </w:tc>
      </w:tr>
      <w:tr>
        <w:trPr/>
        <w:tc>
          <w:tcPr>
            <w:tcW w:w="36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28" w:before="0" w:after="0"/>
              <w:jc w:val="center"/>
              <w:rPr/>
            </w:pPr>
            <w:r>
              <w:rPr>
                <w:sz w:val="15"/>
              </w:rPr>
              <w:t>1.</w:t>
            </w:r>
          </w:p>
        </w:tc>
        <w:tc>
          <w:tcPr>
            <w:tcW w:w="36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28" w:before="0" w:after="0"/>
              <w:rPr/>
            </w:pPr>
            <w:r>
              <w:rPr>
                <w:b/>
                <w:sz w:val="15"/>
              </w:rPr>
              <w:t>Problem Statement (Problem to be solved)</w:t>
            </w:r>
          </w:p>
        </w:tc>
        <w:tc>
          <w:tcPr>
            <w:tcW w:w="36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28" w:before="0" w:after="0"/>
              <w:rPr/>
            </w:pPr>
            <w:r>
              <w:rPr>
                <w:sz w:val="15"/>
              </w:rPr>
              <w:t>IT incidents reported through different channels and handled with manual coordination can result in incomplete or inconsistent incident records, unclear ownership, delayed escalation or resolution, limited SLA visibility, and difficulty tracking related changes, child incidents, and resolution information.</w:t>
            </w:r>
          </w:p>
        </w:tc>
      </w:tr>
      <w:tr>
        <w:trPr/>
        <w:tc>
          <w:tcPr>
            <w:tcW w:w="36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28" w:before="0" w:after="0"/>
              <w:jc w:val="center"/>
              <w:rPr/>
            </w:pPr>
            <w:r>
              <w:rPr>
                <w:sz w:val="15"/>
              </w:rPr>
              <w:t>2.</w:t>
            </w:r>
          </w:p>
        </w:tc>
        <w:tc>
          <w:tcPr>
            <w:tcW w:w="36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28" w:before="0" w:after="0"/>
              <w:rPr/>
            </w:pPr>
            <w:r>
              <w:rPr>
                <w:b/>
                <w:sz w:val="15"/>
              </w:rPr>
              <w:t>Idea / Solution description</w:t>
            </w:r>
          </w:p>
        </w:tc>
        <w:tc>
          <w:tcPr>
            <w:tcW w:w="36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28" w:before="0" w:after="0"/>
              <w:rPr/>
            </w:pPr>
            <w:r>
              <w:rPr>
                <w:sz w:val="15"/>
              </w:rPr>
              <w:t>Implement Incident Lifecycle Automation in ServiceNow to standardize the incident lifecycle from creation and classification through Knowledge/Agent Assist, assignment and Level 2 escalation, investigation and resolution, emergency change and child-incident linking, SLA/activity tracking, closure, and knowledge article creation.</w:t>
            </w:r>
          </w:p>
        </w:tc>
      </w:tr>
      <w:tr>
        <w:trPr/>
        <w:tc>
          <w:tcPr>
            <w:tcW w:w="36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28" w:before="0" w:after="0"/>
              <w:jc w:val="center"/>
              <w:rPr/>
            </w:pPr>
            <w:r>
              <w:rPr>
                <w:sz w:val="15"/>
              </w:rPr>
              <w:t>3.</w:t>
            </w:r>
          </w:p>
        </w:tc>
        <w:tc>
          <w:tcPr>
            <w:tcW w:w="36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28" w:before="0" w:after="0"/>
              <w:rPr/>
            </w:pPr>
            <w:r>
              <w:rPr>
                <w:b/>
                <w:sz w:val="15"/>
              </w:rPr>
              <w:t>Novelty / Uniqueness</w:t>
            </w:r>
          </w:p>
        </w:tc>
        <w:tc>
          <w:tcPr>
            <w:tcW w:w="36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28" w:before="0" w:after="0"/>
              <w:rPr/>
            </w:pPr>
            <w:r>
              <w:rPr>
                <w:sz w:val="15"/>
              </w:rPr>
              <w:t>The solution brings key incident-management activities and related records into one structured ServiceNow lifecycle, covering classification, knowledge assistance, assignment and escalation, SLA tracking, emergency-change linkage, parent-child incident handling, resolution documentation, and knowledge reuse.</w:t>
            </w:r>
          </w:p>
        </w:tc>
      </w:tr>
      <w:tr>
        <w:trPr/>
        <w:tc>
          <w:tcPr>
            <w:tcW w:w="36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28" w:before="0" w:after="0"/>
              <w:jc w:val="center"/>
              <w:rPr/>
            </w:pPr>
            <w:r>
              <w:rPr>
                <w:sz w:val="15"/>
              </w:rPr>
              <w:t>4.</w:t>
            </w:r>
          </w:p>
        </w:tc>
        <w:tc>
          <w:tcPr>
            <w:tcW w:w="36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28" w:before="0" w:after="0"/>
              <w:rPr/>
            </w:pPr>
            <w:r>
              <w:rPr>
                <w:b/>
                <w:sz w:val="15"/>
              </w:rPr>
              <w:t>Social Impact / Customer Satisfaction</w:t>
            </w:r>
          </w:p>
        </w:tc>
        <w:tc>
          <w:tcPr>
            <w:tcW w:w="36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28" w:before="0" w:after="0"/>
              <w:rPr/>
            </w:pPr>
            <w:r>
              <w:rPr>
                <w:sz w:val="15"/>
              </w:rPr>
              <w:t>The solution provides clearer incident ownership and status, reduces manual coordination, supports consistent handling, improves visibility of SLA and related records, and enables reuse of resolution knowledge, contributing to a better service experience for end users and support teams.</w:t>
            </w:r>
          </w:p>
        </w:tc>
      </w:tr>
      <w:tr>
        <w:trPr/>
        <w:tc>
          <w:tcPr>
            <w:tcW w:w="36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28" w:before="0" w:after="0"/>
              <w:jc w:val="center"/>
              <w:rPr/>
            </w:pPr>
            <w:r>
              <w:rPr>
                <w:sz w:val="15"/>
              </w:rPr>
              <w:t>5.</w:t>
            </w:r>
          </w:p>
        </w:tc>
        <w:tc>
          <w:tcPr>
            <w:tcW w:w="36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28" w:before="0" w:after="0"/>
              <w:rPr/>
            </w:pPr>
            <w:r>
              <w:rPr>
                <w:b/>
                <w:sz w:val="15"/>
              </w:rPr>
              <w:t>Business Model (Revenue Model)</w:t>
            </w:r>
          </w:p>
        </w:tc>
        <w:tc>
          <w:tcPr>
            <w:tcW w:w="36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28" w:before="0" w:after="0"/>
              <w:rPr/>
            </w:pPr>
            <w:r>
              <w:rPr>
                <w:sz w:val="15"/>
              </w:rPr>
              <w:t>The solution is intended for enterprise IT service management using the ServiceNow platform. A practical model can involve ServiceNow platform subscription/licensing together with implementation, configuration, and administration services. This academic project does not claim a separate direct revenue stream.</w:t>
            </w:r>
          </w:p>
        </w:tc>
      </w:tr>
      <w:tr>
        <w:trPr/>
        <w:tc>
          <w:tcPr>
            <w:tcW w:w="36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28" w:before="0" w:after="0"/>
              <w:jc w:val="center"/>
              <w:rPr/>
            </w:pPr>
            <w:r>
              <w:rPr>
                <w:sz w:val="15"/>
              </w:rPr>
              <w:t>6.</w:t>
            </w:r>
          </w:p>
        </w:tc>
        <w:tc>
          <w:tcPr>
            <w:tcW w:w="36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28" w:before="0" w:after="0"/>
              <w:rPr/>
            </w:pPr>
            <w:r>
              <w:rPr>
                <w:b/>
                <w:sz w:val="15"/>
              </w:rPr>
              <w:t>Scalability of the Solution</w:t>
            </w:r>
          </w:p>
        </w:tc>
        <w:tc>
          <w:tcPr>
            <w:tcW w:w="360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28" w:before="0" w:after="0"/>
              <w:rPr/>
            </w:pPr>
            <w:r>
              <w:rPr>
                <w:sz w:val="15"/>
              </w:rPr>
              <w:t>The solution can scale with increasing incidents, users, services, configuration items, support groups, and knowledge records. Additional workflows, notifications, reports, integrations, and automation rules can be added as operational requirements grow.</w:t>
            </w:r>
          </w:p>
        </w:tc>
      </w:tr>
    </w:tbl>
    <w:sectPr>
      <w:type w:val="nextPage"/>
      <w:pgSz w:w="12240" w:h="15840"/>
      <w:pgMar w:left="720" w:right="720" w:gutter="0" w:header="0" w:top="648" w:footer="0" w:bottom="5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1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Pages>
  <Words>275</Words>
  <Characters>1983</Characters>
  <CharactersWithSpaces>2227</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2026-09-18T17:02:52Z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