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50"/>
          <w:szCs w:val="50"/>
        </w:rPr>
      </w:pPr>
      <w:bookmarkStart w:colFirst="0" w:colLast="0" w:name="_lnyvgji6itbw" w:id="0"/>
      <w:bookmarkEnd w:id="0"/>
      <w:r w:rsidDel="00000000" w:rsidR="00000000" w:rsidRPr="00000000">
        <w:rPr>
          <w:sz w:val="50"/>
          <w:szCs w:val="50"/>
          <w:rtl w:val="0"/>
        </w:rPr>
        <w:t xml:space="preserve">Supplementary Materials: </w:t>
      </w:r>
    </w:p>
    <w:p w:rsidR="00000000" w:rsidDel="00000000" w:rsidP="00000000" w:rsidRDefault="00000000" w:rsidRPr="00000000" w14:paraId="00000002">
      <w:pPr>
        <w:pStyle w:val="Title"/>
        <w:spacing w:line="240" w:lineRule="auto"/>
        <w:rPr>
          <w:i w:val="1"/>
          <w:iCs w:val="1"/>
          <w:sz w:val="50"/>
          <w:szCs w:val="50"/>
        </w:rPr>
      </w:pPr>
      <w:bookmarkStart w:colFirst="0" w:colLast="0" w:name="_wz20f8la5t6e" w:id="1"/>
      <w:bookmarkEnd w:id="1"/>
      <w:r w:rsidDel="00000000" w:rsidR="00000000" w:rsidRPr="00000000">
        <w:rPr>
          <w:sz w:val="48"/>
          <w:szCs w:val="48"/>
          <w:rtl w:val="0"/>
        </w:rPr>
        <w:t xml:space="preserve">Follow-up Bias in Tumor Dynamic Modeling: A Comparison of Classical and Neural-ODE Approaches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id w:val="1396968408"/>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syb9sxizpr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Summary</w:t>
              <w:tab/>
              <w:t xml:space="preserve">0</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xv7nwalfz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Tumor Dynamic Pattern Categorization</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uy7s3s2684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Development and Evaluation</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gxbr9tu0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Tumor Growth Inhibition (TGI) models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py5vmdt4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Tumor Dynamic Neural-ODE (TDNODE) Model Development</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iuhagx57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Preprocessing</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gha25r47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Tumor Dynamic Neural-ODE (TDNODE) Model Architecture</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iuhagx57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Training</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1rrkwbuf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Model Evaluation (additional details)</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03tbaxc3do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Additional Results</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7vkugvql10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bsyb9sxizpru" w:id="2"/>
      <w:bookmarkEnd w:id="2"/>
      <w:r w:rsidDel="00000000" w:rsidR="00000000" w:rsidRPr="00000000">
        <w:rPr>
          <w:rtl w:val="0"/>
        </w:rPr>
        <w:t xml:space="preserve">Data Summary</w:t>
      </w:r>
    </w:p>
    <w:p w:rsidR="00000000" w:rsidDel="00000000" w:rsidP="00000000" w:rsidRDefault="00000000" w:rsidRPr="00000000" w14:paraId="00000012">
      <w:pPr>
        <w:rPr/>
      </w:pPr>
      <w:r w:rsidDel="00000000" w:rsidR="00000000" w:rsidRPr="00000000">
        <w:rPr>
          <w:rtl w:val="0"/>
        </w:rPr>
        <w:t xml:space="preserve">Below is a brief description of the data included by study: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2"/>
        </w:numPr>
        <w:spacing w:line="480" w:lineRule="auto"/>
        <w:ind w:left="720" w:hanging="360"/>
      </w:pPr>
      <w:r w:rsidDel="00000000" w:rsidR="00000000" w:rsidRPr="00000000">
        <w:rPr>
          <w:rtl w:val="0"/>
        </w:rPr>
        <w:t xml:space="preserve">IMPower130: This is a Phase III trial that compared the combination of atezolizumab (Tecentriq) plus chemotherapy (carboplatin and nab-paclitaxel) against chemotherapy alone in patients with advanced non-squamous non-small cell lung cancer (NSCLC). Treatment arms included A: Atezolizumab + Carboplatin + Nab-Paclitaxel, and B: Carboplatin + Nab-Paclitaxel.</w:t>
      </w:r>
    </w:p>
    <w:p w:rsidR="00000000" w:rsidDel="00000000" w:rsidP="00000000" w:rsidRDefault="00000000" w:rsidRPr="00000000" w14:paraId="00000015">
      <w:pPr>
        <w:numPr>
          <w:ilvl w:val="0"/>
          <w:numId w:val="2"/>
        </w:numPr>
        <w:spacing w:line="480" w:lineRule="auto"/>
        <w:ind w:left="720" w:hanging="360"/>
      </w:pPr>
      <w:r w:rsidDel="00000000" w:rsidR="00000000" w:rsidRPr="00000000">
        <w:rPr>
          <w:rtl w:val="0"/>
        </w:rPr>
        <w:t xml:space="preserve">IMPower131: This Phase III study evaluated the efficacy and safety of atezolizumab in combination with chemotherapy (carboplatin and nab-paclitaxel or carboplatin and paclitaxel) in patients with squamous NSCLC. Treatment arms included A: Atezolizumab + Carboplatin + Nab-Paclitaxel, B: Carboplatin + Nab-Paclitaxel, and C: Atezolizumab + Carboplatin + Paclitaxel.</w:t>
      </w:r>
    </w:p>
    <w:p w:rsidR="00000000" w:rsidDel="00000000" w:rsidP="00000000" w:rsidRDefault="00000000" w:rsidRPr="00000000" w14:paraId="00000016">
      <w:pPr>
        <w:numPr>
          <w:ilvl w:val="0"/>
          <w:numId w:val="2"/>
        </w:numPr>
        <w:spacing w:line="480" w:lineRule="auto"/>
        <w:ind w:left="720" w:hanging="360"/>
      </w:pPr>
      <w:r w:rsidDel="00000000" w:rsidR="00000000" w:rsidRPr="00000000">
        <w:rPr>
          <w:rtl w:val="0"/>
        </w:rPr>
        <w:t xml:space="preserve">IMPower132: The goal of this Phase III trial was to assess the impact of atezolizumab in combination with cisplatin or carboplatin and pemetrexed in patients with advanced non-squamous NSCLC. Treatment arms included A: Atezolizumab + Cisplatin + Pemetrexed, B: Atezolizumab + Carboplatin + Pemetrexed, C: Cisplatin + Pemetrexed, and D: Carboplatin + Pemetrexed.</w:t>
      </w:r>
    </w:p>
    <w:p w:rsidR="00000000" w:rsidDel="00000000" w:rsidP="00000000" w:rsidRDefault="00000000" w:rsidRPr="00000000" w14:paraId="00000017">
      <w:pPr>
        <w:numPr>
          <w:ilvl w:val="0"/>
          <w:numId w:val="2"/>
        </w:numPr>
        <w:spacing w:line="480" w:lineRule="auto"/>
        <w:ind w:left="720" w:hanging="360"/>
      </w:pPr>
      <w:r w:rsidDel="00000000" w:rsidR="00000000" w:rsidRPr="00000000">
        <w:rPr>
          <w:rtl w:val="0"/>
        </w:rPr>
        <w:t xml:space="preserve">IMPower150: This is a Phase III clinical trial designed to evaluate the efficacy and safety of atezolizumab in combination with chemotherapy (carboplatin and paclitaxel) and the angiogenesis inhibitor bevacizumab, vs standard of care chemotherapy and bevacizumab in individuals with advanced non-squamous NSCLC.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Table S1</w:t>
      </w:r>
      <w:r w:rsidDel="00000000" w:rsidR="00000000" w:rsidRPr="00000000">
        <w:rPr>
          <w:rtl w:val="0"/>
        </w:rPr>
        <w:t xml:space="preserve"> Summary of trial data cutoff dates and determination of data truncation by study.</w:t>
      </w:r>
    </w:p>
    <w:tbl>
      <w:tblPr>
        <w:tblStyle w:val="Table1"/>
        <w:tblW w:w="10900.0" w:type="dxa"/>
        <w:jc w:val="left"/>
        <w:tblInd w:w="-114.5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0"/>
        <w:gridCol w:w="820"/>
        <w:gridCol w:w="1220"/>
        <w:gridCol w:w="1340"/>
        <w:gridCol w:w="980"/>
        <w:gridCol w:w="1120"/>
        <w:gridCol w:w="1160"/>
        <w:gridCol w:w="1420"/>
        <w:gridCol w:w="1320"/>
        <w:tblGridChange w:id="0">
          <w:tblGrid>
            <w:gridCol w:w="1520"/>
            <w:gridCol w:w="820"/>
            <w:gridCol w:w="1220"/>
            <w:gridCol w:w="1340"/>
            <w:gridCol w:w="980"/>
            <w:gridCol w:w="1120"/>
            <w:gridCol w:w="1160"/>
            <w:gridCol w:w="1420"/>
            <w:gridCol w:w="1320"/>
          </w:tblGrid>
        </w:tblGridChange>
      </w:tblGrid>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60" w:lineRule="auto"/>
              <w:jc w:val="center"/>
              <w:rPr/>
            </w:pPr>
            <w:r w:rsidDel="00000000" w:rsidR="00000000" w:rsidRPr="00000000">
              <w:rPr>
                <w:rtl w:val="0"/>
              </w:rPr>
              <w:t xml:space="preserve">Study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60" w:lineRule="auto"/>
              <w:jc w:val="center"/>
              <w:rPr/>
            </w:pPr>
            <w:r w:rsidDel="00000000" w:rsidR="00000000" w:rsidRPr="00000000">
              <w:rPr>
                <w:rtl w:val="0"/>
              </w:rPr>
              <w:t xml:space="preserve">Study  </w:t>
            </w:r>
          </w:p>
          <w:p w:rsidR="00000000" w:rsidDel="00000000" w:rsidP="00000000" w:rsidRDefault="00000000" w:rsidRPr="00000000" w14:paraId="0000001C">
            <w:pPr>
              <w:spacing w:after="60" w:lineRule="auto"/>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60" w:lineRule="auto"/>
              <w:jc w:val="center"/>
              <w:rPr/>
            </w:pPr>
            <w:r w:rsidDel="00000000" w:rsidR="00000000" w:rsidRPr="00000000">
              <w:rPr>
                <w:rtl w:val="0"/>
              </w:rPr>
              <w:t xml:space="preserve">First  </w:t>
            </w:r>
          </w:p>
          <w:p w:rsidR="00000000" w:rsidDel="00000000" w:rsidP="00000000" w:rsidRDefault="00000000" w:rsidRPr="00000000" w14:paraId="0000001E">
            <w:pPr>
              <w:spacing w:after="60" w:lineRule="auto"/>
              <w:jc w:val="center"/>
              <w:rPr/>
            </w:pPr>
            <w:r w:rsidDel="00000000" w:rsidR="00000000" w:rsidRPr="00000000">
              <w:rPr>
                <w:rtl w:val="0"/>
              </w:rPr>
              <w:t xml:space="preserve">recruitment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60" w:lineRule="auto"/>
              <w:jc w:val="center"/>
              <w:rPr/>
            </w:pPr>
            <w:r w:rsidDel="00000000" w:rsidR="00000000" w:rsidRPr="00000000">
              <w:rPr>
                <w:rtl w:val="0"/>
              </w:rPr>
              <w:t xml:space="preserve">Last scan  </w:t>
            </w:r>
          </w:p>
          <w:p w:rsidR="00000000" w:rsidDel="00000000" w:rsidP="00000000" w:rsidRDefault="00000000" w:rsidRPr="00000000" w14:paraId="00000020">
            <w:pPr>
              <w:spacing w:after="60" w:lineRule="auto"/>
              <w:jc w:val="center"/>
              <w:rPr/>
            </w:pPr>
            <w:r w:rsidDel="00000000" w:rsidR="00000000" w:rsidRPr="00000000">
              <w:rPr>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60" w:lineRule="auto"/>
              <w:jc w:val="center"/>
              <w:rPr/>
            </w:pPr>
            <w:r w:rsidDel="00000000" w:rsidR="00000000" w:rsidRPr="00000000">
              <w:rPr>
                <w:rtl w:val="0"/>
              </w:rPr>
              <w:t xml:space="preserve">Time span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60" w:lineRule="auto"/>
              <w:jc w:val="center"/>
              <w:rPr/>
            </w:pPr>
            <w:r w:rsidDel="00000000" w:rsidR="00000000" w:rsidRPr="00000000">
              <w:rPr>
                <w:rtl w:val="0"/>
              </w:rPr>
              <w:t xml:space="preserve">25% Follow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60" w:lineRule="auto"/>
              <w:jc w:val="center"/>
              <w:rPr/>
            </w:pPr>
            <w:r w:rsidDel="00000000" w:rsidR="00000000" w:rsidRPr="00000000">
              <w:rPr>
                <w:rtl w:val="0"/>
              </w:rPr>
              <w:t xml:space="preserve">50% </w:t>
            </w:r>
          </w:p>
          <w:p w:rsidR="00000000" w:rsidDel="00000000" w:rsidP="00000000" w:rsidRDefault="00000000" w:rsidRPr="00000000" w14:paraId="00000024">
            <w:pPr>
              <w:spacing w:after="60" w:lineRule="auto"/>
              <w:jc w:val="center"/>
              <w:rPr/>
            </w:pPr>
            <w:r w:rsidDel="00000000" w:rsidR="00000000" w:rsidRPr="00000000">
              <w:rPr>
                <w:rtl w:val="0"/>
              </w:rPr>
              <w:t xml:space="preserve">Follow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60" w:lineRule="auto"/>
              <w:jc w:val="center"/>
              <w:rPr/>
            </w:pPr>
            <w:r w:rsidDel="00000000" w:rsidR="00000000" w:rsidRPr="00000000">
              <w:rPr>
                <w:rtl w:val="0"/>
              </w:rPr>
              <w:t xml:space="preserve">75% Follow up</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60" w:lineRule="auto"/>
              <w:jc w:val="center"/>
              <w:rPr/>
            </w:pPr>
            <w:r w:rsidDel="00000000" w:rsidR="00000000" w:rsidRPr="00000000">
              <w:rPr>
                <w:rtl w:val="0"/>
              </w:rPr>
              <w:t xml:space="preserve">IMpower 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60" w:lineRule="auto"/>
              <w:jc w:val="center"/>
              <w:rPr/>
            </w:pPr>
            <w:r w:rsidDel="00000000" w:rsidR="00000000" w:rsidRPr="00000000">
              <w:rPr>
                <w:rtl w:val="0"/>
              </w:rPr>
              <w:t xml:space="preserve">29436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60" w:lineRule="auto"/>
              <w:jc w:val="center"/>
              <w:rPr/>
            </w:pPr>
            <w:r w:rsidDel="00000000" w:rsidR="00000000" w:rsidRPr="00000000">
              <w:rPr>
                <w:rtl w:val="0"/>
              </w:rPr>
              <w:t xml:space="preserve">2015-04-03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60" w:lineRule="auto"/>
              <w:jc w:val="center"/>
              <w:rPr/>
            </w:pPr>
            <w:r w:rsidDel="00000000" w:rsidR="00000000" w:rsidRPr="00000000">
              <w:rPr>
                <w:rtl w:val="0"/>
              </w:rPr>
              <w:t xml:space="preserve">2018-01-22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60" w:lineRule="auto"/>
              <w:jc w:val="center"/>
              <w:rPr/>
            </w:pPr>
            <w:r w:rsidDel="00000000" w:rsidR="00000000" w:rsidRPr="00000000">
              <w:rPr>
                <w:rtl w:val="0"/>
              </w:rPr>
              <w:t xml:space="preserve">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60" w:lineRule="auto"/>
              <w:jc w:val="center"/>
              <w:rPr/>
            </w:pPr>
            <w:r w:rsidDel="00000000" w:rsidR="00000000" w:rsidRPr="00000000">
              <w:rPr>
                <w:rtl w:val="0"/>
              </w:rPr>
              <w:t xml:space="preserve">250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60" w:lineRule="auto"/>
              <w:jc w:val="center"/>
              <w:rPr/>
            </w:pPr>
            <w:r w:rsidDel="00000000" w:rsidR="00000000" w:rsidRPr="00000000">
              <w:rPr>
                <w:rtl w:val="0"/>
              </w:rPr>
              <w:t xml:space="preserve">500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60" w:lineRule="auto"/>
              <w:jc w:val="center"/>
              <w:rPr/>
            </w:pPr>
            <w:r w:rsidDel="00000000" w:rsidR="00000000" w:rsidRPr="00000000">
              <w:rPr>
                <w:rtl w:val="0"/>
              </w:rPr>
              <w:t xml:space="preserve">750 days</w:t>
            </w:r>
          </w:p>
        </w:tc>
      </w:tr>
      <w:tr>
        <w:trPr>
          <w:cantSplit w:val="0"/>
          <w:trHeight w:val="5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60" w:lineRule="auto"/>
              <w:jc w:val="center"/>
              <w:rPr/>
            </w:pPr>
            <w:r w:rsidDel="00000000" w:rsidR="00000000" w:rsidRPr="00000000">
              <w:rPr>
                <w:rtl w:val="0"/>
              </w:rPr>
              <w:t xml:space="preserve">IMpower 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60" w:lineRule="auto"/>
              <w:jc w:val="center"/>
              <w:rPr/>
            </w:pPr>
            <w:r w:rsidDel="00000000" w:rsidR="00000000" w:rsidRPr="00000000">
              <w:rPr>
                <w:rtl w:val="0"/>
              </w:rPr>
              <w:t xml:space="preserve">29437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60" w:lineRule="auto"/>
              <w:jc w:val="center"/>
              <w:rPr/>
            </w:pPr>
            <w:r w:rsidDel="00000000" w:rsidR="00000000" w:rsidRPr="00000000">
              <w:rPr>
                <w:rtl w:val="0"/>
              </w:rPr>
              <w:t xml:space="preserve">2015-06-12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60" w:lineRule="auto"/>
              <w:jc w:val="center"/>
              <w:rPr/>
            </w:pPr>
            <w:r w:rsidDel="00000000" w:rsidR="00000000" w:rsidRPr="00000000">
              <w:rPr>
                <w:rtl w:val="0"/>
              </w:rPr>
              <w:t xml:space="preserve">2018-04-19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60" w:lineRule="auto"/>
              <w:jc w:val="center"/>
              <w:rPr/>
            </w:pPr>
            <w:r w:rsidDel="00000000" w:rsidR="00000000" w:rsidRPr="00000000">
              <w:rPr>
                <w:rtl w:val="0"/>
              </w:rPr>
              <w:t xml:space="preserve">1042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60" w:lineRule="auto"/>
              <w:jc w:val="center"/>
              <w:rPr/>
            </w:pPr>
            <w:r w:rsidDel="00000000" w:rsidR="00000000" w:rsidRPr="00000000">
              <w:rPr>
                <w:rtl w:val="0"/>
              </w:rPr>
              <w:t xml:space="preserve">260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60" w:lineRule="auto"/>
              <w:jc w:val="center"/>
              <w:rPr/>
            </w:pPr>
            <w:r w:rsidDel="00000000" w:rsidR="00000000" w:rsidRPr="00000000">
              <w:rPr>
                <w:rtl w:val="0"/>
              </w:rPr>
              <w:t xml:space="preserve">520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60" w:lineRule="auto"/>
              <w:jc w:val="center"/>
              <w:rPr/>
            </w:pPr>
            <w:r w:rsidDel="00000000" w:rsidR="00000000" w:rsidRPr="00000000">
              <w:rPr>
                <w:rtl w:val="0"/>
              </w:rPr>
              <w:t xml:space="preserve">780 days</w:t>
            </w:r>
          </w:p>
        </w:tc>
      </w:tr>
      <w:tr>
        <w:trPr>
          <w:cantSplit w:val="0"/>
          <w:trHeight w:val="58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60" w:lineRule="auto"/>
              <w:jc w:val="center"/>
              <w:rPr/>
            </w:pPr>
            <w:r w:rsidDel="00000000" w:rsidR="00000000" w:rsidRPr="00000000">
              <w:rPr>
                <w:rtl w:val="0"/>
              </w:rPr>
              <w:t xml:space="preserve">IMpower 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60" w:lineRule="auto"/>
              <w:jc w:val="center"/>
              <w:rPr/>
            </w:pPr>
            <w:r w:rsidDel="00000000" w:rsidR="00000000" w:rsidRPr="00000000">
              <w:rPr>
                <w:rtl w:val="0"/>
              </w:rPr>
              <w:t xml:space="preserve">29438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60" w:lineRule="auto"/>
              <w:jc w:val="center"/>
              <w:rPr/>
            </w:pPr>
            <w:r w:rsidDel="00000000" w:rsidR="00000000" w:rsidRPr="00000000">
              <w:rPr>
                <w:rtl w:val="0"/>
              </w:rPr>
              <w:t xml:space="preserve">2016-04-08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60" w:lineRule="auto"/>
              <w:jc w:val="center"/>
              <w:rPr/>
            </w:pPr>
            <w:r w:rsidDel="00000000" w:rsidR="00000000" w:rsidRPr="00000000">
              <w:rPr>
                <w:rtl w:val="0"/>
              </w:rPr>
              <w:t xml:space="preserve">2018-05-22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60" w:lineRule="auto"/>
              <w:jc w:val="center"/>
              <w:rPr/>
            </w:pPr>
            <w:r w:rsidDel="00000000" w:rsidR="00000000" w:rsidRPr="00000000">
              <w:rPr>
                <w:rtl w:val="0"/>
              </w:rPr>
              <w:t xml:space="preserve">744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60" w:lineRule="auto"/>
              <w:jc w:val="center"/>
              <w:rPr/>
            </w:pPr>
            <w:r w:rsidDel="00000000" w:rsidR="00000000" w:rsidRPr="00000000">
              <w:rPr>
                <w:rtl w:val="0"/>
              </w:rPr>
              <w:t xml:space="preserve">180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60" w:lineRule="auto"/>
              <w:jc w:val="center"/>
              <w:rPr/>
            </w:pPr>
            <w:r w:rsidDel="00000000" w:rsidR="00000000" w:rsidRPr="00000000">
              <w:rPr>
                <w:rtl w:val="0"/>
              </w:rPr>
              <w:t xml:space="preserve">360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60" w:lineRule="auto"/>
              <w:jc w:val="center"/>
              <w:rPr/>
            </w:pPr>
            <w:r w:rsidDel="00000000" w:rsidR="00000000" w:rsidRPr="00000000">
              <w:rPr>
                <w:rtl w:val="0"/>
              </w:rPr>
              <w:t xml:space="preserve">540 days</w:t>
            </w:r>
          </w:p>
        </w:tc>
      </w:tr>
      <w:tr>
        <w:trPr>
          <w:cantSplit w:val="0"/>
          <w:trHeight w:val="58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60" w:lineRule="auto"/>
              <w:jc w:val="center"/>
              <w:rPr/>
            </w:pPr>
            <w:r w:rsidDel="00000000" w:rsidR="00000000" w:rsidRPr="00000000">
              <w:rPr>
                <w:rtl w:val="0"/>
              </w:rPr>
              <w:t xml:space="preserve">IMpower 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60" w:lineRule="auto"/>
              <w:jc w:val="center"/>
              <w:rPr/>
            </w:pPr>
            <w:r w:rsidDel="00000000" w:rsidR="00000000" w:rsidRPr="00000000">
              <w:rPr>
                <w:rtl w:val="0"/>
              </w:rPr>
              <w:t xml:space="preserve">29537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60" w:lineRule="auto"/>
              <w:jc w:val="center"/>
              <w:rPr/>
            </w:pPr>
            <w:r w:rsidDel="00000000" w:rsidR="00000000" w:rsidRPr="00000000">
              <w:rPr>
                <w:rtl w:val="0"/>
              </w:rPr>
              <w:t xml:space="preserve">2015-04-17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60" w:lineRule="auto"/>
              <w:jc w:val="center"/>
              <w:rPr/>
            </w:pPr>
            <w:r w:rsidDel="00000000" w:rsidR="00000000" w:rsidRPr="00000000">
              <w:rPr>
                <w:rtl w:val="0"/>
              </w:rPr>
              <w:t xml:space="preserve">2018-03-15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60" w:lineRule="auto"/>
              <w:jc w:val="center"/>
              <w:rPr/>
            </w:pPr>
            <w:r w:rsidDel="00000000" w:rsidR="00000000" w:rsidRPr="00000000">
              <w:rPr>
                <w:rtl w:val="0"/>
              </w:rPr>
              <w:t xml:space="preserve">1063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60" w:lineRule="auto"/>
              <w:jc w:val="center"/>
              <w:rPr/>
            </w:pPr>
            <w:r w:rsidDel="00000000" w:rsidR="00000000" w:rsidRPr="00000000">
              <w:rPr>
                <w:rtl w:val="0"/>
              </w:rPr>
              <w:t xml:space="preserve">260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60" w:lineRule="auto"/>
              <w:jc w:val="center"/>
              <w:rPr/>
            </w:pPr>
            <w:r w:rsidDel="00000000" w:rsidR="00000000" w:rsidRPr="00000000">
              <w:rPr>
                <w:rtl w:val="0"/>
              </w:rPr>
              <w:t xml:space="preserve">520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60" w:lineRule="auto"/>
              <w:jc w:val="center"/>
              <w:rPr/>
            </w:pPr>
            <w:r w:rsidDel="00000000" w:rsidR="00000000" w:rsidRPr="00000000">
              <w:rPr>
                <w:rtl w:val="0"/>
              </w:rPr>
              <w:t xml:space="preserve">780 days</w:t>
            </w:r>
          </w:p>
        </w:tc>
      </w:tr>
    </w:tbl>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sz w:val="18"/>
          <w:szCs w:val="18"/>
        </w:rPr>
      </w:pPr>
      <w:r w:rsidDel="00000000" w:rsidR="00000000" w:rsidRPr="00000000">
        <w:rPr>
          <w:sz w:val="18"/>
          <w:szCs w:val="18"/>
        </w:rPr>
        <w:drawing>
          <wp:inline distB="114300" distT="114300" distL="114300" distR="114300">
            <wp:extent cx="5943600" cy="59436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Figure S1: Illustrative samples of tumor measurement times observed across patients at different follow-up times within the respective clinical trials. </w:t>
      </w:r>
      <w:r w:rsidDel="00000000" w:rsidR="00000000" w:rsidRPr="00000000">
        <w:rPr>
          <w:rtl w:val="0"/>
        </w:rPr>
        <w:t xml:space="preserve">For each of the</w:t>
      </w:r>
      <w:r w:rsidDel="00000000" w:rsidR="00000000" w:rsidRPr="00000000">
        <w:rPr>
          <w:b w:val="1"/>
          <w:bCs w:val="1"/>
          <w:rtl w:val="0"/>
        </w:rPr>
        <w:t xml:space="preserve"> </w:t>
      </w:r>
      <w:r w:rsidDel="00000000" w:rsidR="00000000" w:rsidRPr="00000000">
        <w:rPr>
          <w:rtl w:val="0"/>
        </w:rPr>
        <w:t xml:space="preserve">four NSCLC trials (IMPower130, IMPower131, IMPower132, IMPower150), the trial duration corresponds to the difference between the time of the last SLD measurement and the time of first dose for the first patient. Times are shown as a percentage of the trial duration from the first dose given. The line colors denote data that fall within the following time intervals: blue denotes between [0, 25%) time, red denotes between [25%, 50%) time, green denotes between [50%, 75%) time, orange denotes between [75%, 100%) time; note that not all subjects in the trial are shown, only a representative subset for illustrative purposes. SLD: sum-of-longest-diameter.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5943600"/>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7"/>
                    <a:srcRect b="1602" l="0" r="0" t="-1602"/>
                    <a:stretch>
                      <a:fillRect/>
                    </a:stretch>
                  </pic:blipFill>
                  <pic:spPr>
                    <a:xfrm>
                      <a:off x="0" y="0"/>
                      <a:ext cx="5943600" cy="5943600"/>
                    </a:xfrm>
                    <a:prstGeom prst="rect"/>
                    <a:ln/>
                  </pic:spPr>
                </pic:pic>
              </a:graphicData>
            </a:graphic>
          </wp:anchor>
        </w:drawing>
      </w:r>
    </w:p>
    <w:p w:rsidR="00000000" w:rsidDel="00000000" w:rsidP="00000000" w:rsidRDefault="00000000" w:rsidRPr="00000000" w14:paraId="0000004C">
      <w:pPr>
        <w:rPr/>
      </w:pPr>
      <w:r w:rsidDel="00000000" w:rsidR="00000000" w:rsidRPr="00000000">
        <w:rPr>
          <w:b w:val="1"/>
          <w:bCs w:val="1"/>
          <w:rtl w:val="0"/>
        </w:rPr>
        <w:t xml:space="preserve">Figure S2: Distributions of seen (observed) and unseen data for each study at 25%, 50%, and 75% enrollment cuts. (A) </w:t>
      </w:r>
      <w:r w:rsidDel="00000000" w:rsidR="00000000" w:rsidRPr="00000000">
        <w:rPr>
          <w:rtl w:val="0"/>
        </w:rPr>
        <w:t xml:space="preserve">IMPower130 </w:t>
      </w:r>
      <w:r w:rsidDel="00000000" w:rsidR="00000000" w:rsidRPr="00000000">
        <w:rPr>
          <w:b w:val="1"/>
          <w:bCs w:val="1"/>
          <w:rtl w:val="0"/>
        </w:rPr>
        <w:t xml:space="preserve">(B) </w:t>
      </w:r>
      <w:r w:rsidDel="00000000" w:rsidR="00000000" w:rsidRPr="00000000">
        <w:rPr>
          <w:rtl w:val="0"/>
        </w:rPr>
        <w:t xml:space="preserve">IMPower131 </w:t>
      </w:r>
      <w:r w:rsidDel="00000000" w:rsidR="00000000" w:rsidRPr="00000000">
        <w:rPr>
          <w:b w:val="1"/>
          <w:bCs w:val="1"/>
          <w:rtl w:val="0"/>
        </w:rPr>
        <w:t xml:space="preserve">(C) </w:t>
      </w:r>
      <w:r w:rsidDel="00000000" w:rsidR="00000000" w:rsidRPr="00000000">
        <w:rPr>
          <w:rtl w:val="0"/>
        </w:rPr>
        <w:t xml:space="preserve">IMPower132 dataset </w:t>
      </w:r>
      <w:r w:rsidDel="00000000" w:rsidR="00000000" w:rsidRPr="00000000">
        <w:rPr>
          <w:b w:val="1"/>
          <w:bCs w:val="1"/>
          <w:rtl w:val="0"/>
        </w:rPr>
        <w:t xml:space="preserve">(D) </w:t>
      </w:r>
      <w:r w:rsidDel="00000000" w:rsidR="00000000" w:rsidRPr="00000000">
        <w:rPr>
          <w:rtl w:val="0"/>
        </w:rPr>
        <w:t xml:space="preserve">IMPower150 dataset.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spacing w:line="480" w:lineRule="auto"/>
        <w:rPr/>
      </w:pPr>
      <w:bookmarkStart w:colFirst="0" w:colLast="0" w:name="_jxv7nwalfzpr" w:id="3"/>
      <w:bookmarkEnd w:id="3"/>
      <w:r w:rsidDel="00000000" w:rsidR="00000000" w:rsidRPr="00000000">
        <w:rPr>
          <w:rtl w:val="0"/>
        </w:rPr>
        <w:t xml:space="preserve">Tumor Dynamic Pattern Categorization  </w:t>
      </w:r>
    </w:p>
    <w:p w:rsidR="00000000" w:rsidDel="00000000" w:rsidP="00000000" w:rsidRDefault="00000000" w:rsidRPr="00000000" w14:paraId="0000004F">
      <w:pPr>
        <w:spacing w:after="240" w:before="240" w:line="240" w:lineRule="auto"/>
        <w:rPr/>
      </w:pPr>
      <w:r w:rsidDel="00000000" w:rsidR="00000000" w:rsidRPr="00000000">
        <w:rPr>
          <w:rtl w:val="0"/>
        </w:rPr>
        <w:t xml:space="preserve">To understand how predictive performance may vary across different treatment response patterns, we categorized patients into groups based on modified RECIST 1.1 criteria </w:t>
      </w:r>
      <w:hyperlink r:id="rId8">
        <w:r w:rsidDel="00000000" w:rsidR="00000000" w:rsidRPr="00000000">
          <w:rPr>
            <w:rtl w:val="0"/>
          </w:rPr>
          <w:t xml:space="preserve">[1]</w:t>
        </w:r>
      </w:hyperlink>
      <w:r w:rsidDel="00000000" w:rsidR="00000000" w:rsidRPr="00000000">
        <w:rPr>
          <w:rtl w:val="0"/>
        </w:rPr>
        <w:t xml:space="preserve">. Standard RECIST assesses treatment response by classifying a patient's best overall response, typically Complete Response (CR), Partial Response (PR), Stable Disease (SD), or Progressive Disease (PD).</w:t>
      </w:r>
    </w:p>
    <w:p w:rsidR="00000000" w:rsidDel="00000000" w:rsidP="00000000" w:rsidRDefault="00000000" w:rsidRPr="00000000" w14:paraId="00000050">
      <w:pPr>
        <w:spacing w:after="240" w:before="240" w:line="240" w:lineRule="auto"/>
        <w:rPr/>
      </w:pPr>
      <w:r w:rsidDel="00000000" w:rsidR="00000000" w:rsidRPr="00000000">
        <w:rPr>
          <w:rtl w:val="0"/>
        </w:rPr>
        <w:t xml:space="preserve">While our method uses the established RECIST thresholds for CR, PR, and PD, it fundamentally differs in its objective. Rather than capturing the </w:t>
      </w:r>
      <w:r w:rsidDel="00000000" w:rsidR="00000000" w:rsidRPr="00000000">
        <w:rPr>
          <w:i w:val="1"/>
          <w:iCs w:val="1"/>
          <w:rtl w:val="0"/>
        </w:rPr>
        <w:t xml:space="preserve">best response</w:t>
      </w:r>
      <w:r w:rsidDel="00000000" w:rsidR="00000000" w:rsidRPr="00000000">
        <w:rPr>
          <w:rtl w:val="0"/>
        </w:rPr>
        <w:t xml:space="preserve">, our goal was to classify the entire longitudinal trajectory of a patient's tumor. This distinction is critical for evaluating predictive models, as forecasting ability may likely differ between a patient who responds and maintains that response versus one who responds and then progresses. Therefore, we explicitly separated these distinct trajectories.</w:t>
      </w:r>
    </w:p>
    <w:p w:rsidR="00000000" w:rsidDel="00000000" w:rsidP="00000000" w:rsidRDefault="00000000" w:rsidRPr="00000000" w14:paraId="00000051">
      <w:pPr>
        <w:spacing w:after="240" w:before="240" w:line="240" w:lineRule="auto"/>
        <w:rPr/>
      </w:pPr>
      <w:r w:rsidDel="00000000" w:rsidR="00000000" w:rsidRPr="00000000">
        <w:rPr>
          <w:rtl w:val="0"/>
        </w:rPr>
        <w:t xml:space="preserve">Based on this trajectory-focused approach, patients were classified into the following seven subcategories:</w:t>
      </w:r>
    </w:p>
    <w:p w:rsidR="00000000" w:rsidDel="00000000" w:rsidP="00000000" w:rsidRDefault="00000000" w:rsidRPr="00000000" w14:paraId="00000052">
      <w:pPr>
        <w:numPr>
          <w:ilvl w:val="0"/>
          <w:numId w:val="1"/>
        </w:numPr>
        <w:spacing w:after="0" w:afterAutospacing="0" w:before="240" w:line="240" w:lineRule="auto"/>
        <w:ind w:left="720" w:hanging="360"/>
      </w:pPr>
      <w:r w:rsidDel="00000000" w:rsidR="00000000" w:rsidRPr="00000000">
        <w:rPr>
          <w:b w:val="1"/>
          <w:bCs w:val="1"/>
          <w:rtl w:val="0"/>
        </w:rPr>
        <w:t xml:space="preserve">Immediate Progression/ Refractory (IPR)</w:t>
      </w:r>
      <w:r w:rsidDel="00000000" w:rsidR="00000000" w:rsidRPr="00000000">
        <w:rPr>
          <w:rFonts w:ascii="Arial Unicode MS" w:cs="Arial Unicode MS" w:eastAsia="Arial Unicode MS" w:hAnsi="Arial Unicode MS"/>
          <w:rtl w:val="0"/>
        </w:rPr>
        <w:t xml:space="preserve">: Defined as PD at the first follow-up assessment (≥120% of baseline tumor measurements) or all subsequent measurements remaining above baseline. Patients who met this criteria but remained on study for over 26 weeks were instead classified as having stable disease. </w:t>
      </w:r>
      <w:r w:rsidDel="00000000" w:rsidR="00000000" w:rsidRPr="00000000">
        <w:rPr>
          <w:rFonts w:ascii="Arimo" w:cs="Arimo" w:eastAsia="Arimo" w:hAnsi="Arimo"/>
          <w:rtl w:val="0"/>
        </w:rPr>
        <w:t xml:space="preserve">Note, patients who discontinued at the 1st on-study scan and had no additional data were not considered prediction-evaluable and were excluded altogether.</w:t>
      </w:r>
      <w:r w:rsidDel="00000000" w:rsidR="00000000" w:rsidRPr="00000000">
        <w:rPr>
          <w:rtl w:val="0"/>
        </w:rPr>
      </w:r>
    </w:p>
    <w:p w:rsidR="00000000" w:rsidDel="00000000" w:rsidP="00000000" w:rsidRDefault="00000000" w:rsidRPr="00000000" w14:paraId="00000053">
      <w:pPr>
        <w:numPr>
          <w:ilvl w:val="0"/>
          <w:numId w:val="1"/>
        </w:numPr>
        <w:spacing w:after="0" w:afterAutospacing="0" w:before="0" w:beforeAutospacing="0" w:line="240" w:lineRule="auto"/>
        <w:ind w:left="720" w:hanging="360"/>
      </w:pPr>
      <w:r w:rsidDel="00000000" w:rsidR="00000000" w:rsidRPr="00000000">
        <w:rPr>
          <w:b w:val="1"/>
          <w:bCs w:val="1"/>
          <w:rtl w:val="0"/>
        </w:rPr>
        <w:t xml:space="preserve">Stable Disease then Progression (SDP)</w:t>
      </w:r>
      <w:r w:rsidDel="00000000" w:rsidR="00000000" w:rsidRPr="00000000">
        <w:rPr>
          <w:rFonts w:ascii="Arial Unicode MS" w:cs="Arial Unicode MS" w:eastAsia="Arial Unicode MS" w:hAnsi="Arial Unicode MS"/>
          <w:rtl w:val="0"/>
        </w:rPr>
        <w:t xml:space="preserve">: Initial SD followed by PD (≥120% of nadir measurements).</w:t>
      </w:r>
    </w:p>
    <w:p w:rsidR="00000000" w:rsidDel="00000000" w:rsidP="00000000" w:rsidRDefault="00000000" w:rsidRPr="00000000" w14:paraId="00000054">
      <w:pPr>
        <w:numPr>
          <w:ilvl w:val="0"/>
          <w:numId w:val="1"/>
        </w:numPr>
        <w:spacing w:after="0" w:afterAutospacing="0" w:before="0" w:beforeAutospacing="0" w:line="240" w:lineRule="auto"/>
        <w:ind w:left="720" w:hanging="360"/>
      </w:pPr>
      <w:r w:rsidDel="00000000" w:rsidR="00000000" w:rsidRPr="00000000">
        <w:rPr>
          <w:b w:val="1"/>
          <w:bCs w:val="1"/>
          <w:rtl w:val="0"/>
        </w:rPr>
        <w:t xml:space="preserve">Stable Disease Maintained (SDM)</w:t>
      </w:r>
      <w:r w:rsidDel="00000000" w:rsidR="00000000" w:rsidRPr="00000000">
        <w:rPr>
          <w:rtl w:val="0"/>
        </w:rPr>
        <w:t xml:space="preserve">: SD maintained throughout the observation period with no evidence of progression.</w:t>
      </w:r>
    </w:p>
    <w:p w:rsidR="00000000" w:rsidDel="00000000" w:rsidP="00000000" w:rsidRDefault="00000000" w:rsidRPr="00000000" w14:paraId="00000055">
      <w:pPr>
        <w:numPr>
          <w:ilvl w:val="0"/>
          <w:numId w:val="1"/>
        </w:numPr>
        <w:spacing w:after="0" w:afterAutospacing="0" w:before="0" w:beforeAutospacing="0" w:line="240" w:lineRule="auto"/>
        <w:ind w:left="720" w:hanging="360"/>
      </w:pPr>
      <w:r w:rsidDel="00000000" w:rsidR="00000000" w:rsidRPr="00000000">
        <w:rPr>
          <w:b w:val="1"/>
          <w:bCs w:val="1"/>
          <w:rtl w:val="0"/>
        </w:rPr>
        <w:t xml:space="preserve">Partial Response then Progression (PRP)</w:t>
      </w:r>
      <w:r w:rsidDel="00000000" w:rsidR="00000000" w:rsidRPr="00000000">
        <w:rPr>
          <w:rFonts w:ascii="Arial Unicode MS" w:cs="Arial Unicode MS" w:eastAsia="Arial Unicode MS" w:hAnsi="Arial Unicode MS"/>
          <w:rtl w:val="0"/>
        </w:rPr>
        <w:t xml:space="preserve">: Initial achievement of PR (a decrease of ≥30% from baseline) followed by subsequent PD (≥120% of nadir measurements).</w:t>
      </w:r>
    </w:p>
    <w:p w:rsidR="00000000" w:rsidDel="00000000" w:rsidP="00000000" w:rsidRDefault="00000000" w:rsidRPr="00000000" w14:paraId="00000056">
      <w:pPr>
        <w:numPr>
          <w:ilvl w:val="0"/>
          <w:numId w:val="1"/>
        </w:numPr>
        <w:spacing w:after="0" w:afterAutospacing="0" w:before="0" w:beforeAutospacing="0" w:line="240" w:lineRule="auto"/>
        <w:ind w:left="720" w:hanging="360"/>
      </w:pPr>
      <w:r w:rsidDel="00000000" w:rsidR="00000000" w:rsidRPr="00000000">
        <w:rPr>
          <w:b w:val="1"/>
          <w:bCs w:val="1"/>
          <w:rtl w:val="0"/>
        </w:rPr>
        <w:t xml:space="preserve">Partial Response Maintained (PRM)</w:t>
      </w:r>
      <w:r w:rsidDel="00000000" w:rsidR="00000000" w:rsidRPr="00000000">
        <w:rPr>
          <w:rtl w:val="0"/>
        </w:rPr>
        <w:t xml:space="preserve">: Achievement of PR with no subsequent disease progression during the study period.</w:t>
      </w:r>
    </w:p>
    <w:p w:rsidR="00000000" w:rsidDel="00000000" w:rsidP="00000000" w:rsidRDefault="00000000" w:rsidRPr="00000000" w14:paraId="00000057">
      <w:pPr>
        <w:numPr>
          <w:ilvl w:val="0"/>
          <w:numId w:val="1"/>
        </w:numPr>
        <w:spacing w:after="0" w:afterAutospacing="0" w:before="0" w:beforeAutospacing="0" w:line="240" w:lineRule="auto"/>
        <w:ind w:left="720" w:hanging="360"/>
      </w:pPr>
      <w:r w:rsidDel="00000000" w:rsidR="00000000" w:rsidRPr="00000000">
        <w:rPr>
          <w:b w:val="1"/>
          <w:bCs w:val="1"/>
          <w:rtl w:val="0"/>
        </w:rPr>
        <w:t xml:space="preserve">Complete Response then Progression (CRP)</w:t>
      </w:r>
      <w:r w:rsidDel="00000000" w:rsidR="00000000" w:rsidRPr="00000000">
        <w:rPr>
          <w:rFonts w:ascii="Arial Unicode MS" w:cs="Arial Unicode MS" w:eastAsia="Arial Unicode MS" w:hAnsi="Arial Unicode MS"/>
          <w:rtl w:val="0"/>
        </w:rPr>
        <w:t xml:space="preserve">: Initial achievement of CR (disappearance of all target lesions) followed by PD (≥120% of nadir measurements).</w:t>
      </w:r>
    </w:p>
    <w:p w:rsidR="00000000" w:rsidDel="00000000" w:rsidP="00000000" w:rsidRDefault="00000000" w:rsidRPr="00000000" w14:paraId="00000058">
      <w:pPr>
        <w:numPr>
          <w:ilvl w:val="0"/>
          <w:numId w:val="1"/>
        </w:numPr>
        <w:spacing w:after="240" w:before="0" w:beforeAutospacing="0" w:line="240" w:lineRule="auto"/>
        <w:ind w:left="720" w:hanging="360"/>
      </w:pPr>
      <w:r w:rsidDel="00000000" w:rsidR="00000000" w:rsidRPr="00000000">
        <w:rPr>
          <w:b w:val="1"/>
          <w:bCs w:val="1"/>
          <w:rtl w:val="0"/>
        </w:rPr>
        <w:t xml:space="preserve">Complete Response Maintained (CRM)</w:t>
      </w:r>
      <w:r w:rsidDel="00000000" w:rsidR="00000000" w:rsidRPr="00000000">
        <w:rPr>
          <w:rtl w:val="0"/>
        </w:rPr>
        <w:t xml:space="preserve">: Achievement of CR with no evidence of subsequent disease progression throughout the observation period.</w:t>
      </w:r>
    </w:p>
    <w:p w:rsidR="00000000" w:rsidDel="00000000" w:rsidP="00000000" w:rsidRDefault="00000000" w:rsidRPr="00000000" w14:paraId="00000059">
      <w:pPr>
        <w:spacing w:after="240" w:before="240" w:line="240" w:lineRule="auto"/>
        <w:rPr/>
      </w:pPr>
      <w:r w:rsidDel="00000000" w:rsidR="00000000" w:rsidRPr="00000000">
        <w:rPr>
          <w:rtl w:val="0"/>
        </w:rPr>
        <w:t xml:space="preserve">This categorization enabled a differential analysis of predictive performance across a spectrum of longitudinal treatment response patterns.</w:t>
      </w:r>
    </w:p>
    <w:p w:rsidR="00000000" w:rsidDel="00000000" w:rsidP="00000000" w:rsidRDefault="00000000" w:rsidRPr="00000000" w14:paraId="0000005A">
      <w:pPr>
        <w:pStyle w:val="Heading1"/>
        <w:rPr/>
      </w:pPr>
      <w:bookmarkStart w:colFirst="0" w:colLast="0" w:name="_7uy7s3s2684d" w:id="4"/>
      <w:bookmarkEnd w:id="4"/>
      <w:r w:rsidDel="00000000" w:rsidR="00000000" w:rsidRPr="00000000">
        <w:rPr>
          <w:rtl w:val="0"/>
        </w:rPr>
        <w:t xml:space="preserve">Model Development and Evaluation  </w:t>
      </w:r>
    </w:p>
    <w:p w:rsidR="00000000" w:rsidDel="00000000" w:rsidP="00000000" w:rsidRDefault="00000000" w:rsidRPr="00000000" w14:paraId="0000005B">
      <w:pPr>
        <w:pStyle w:val="Heading2"/>
        <w:rPr/>
      </w:pPr>
      <w:bookmarkStart w:colFirst="0" w:colLast="0" w:name="_p7gxbr9tu0n2" w:id="5"/>
      <w:bookmarkEnd w:id="5"/>
      <w:r w:rsidDel="00000000" w:rsidR="00000000" w:rsidRPr="00000000">
        <w:rPr>
          <w:rtl w:val="0"/>
        </w:rPr>
        <w:t xml:space="preserve">Tumor Growth Inhibition (TGI) models</w:t>
      </w:r>
    </w:p>
    <w:p w:rsidR="00000000" w:rsidDel="00000000" w:rsidP="00000000" w:rsidRDefault="00000000" w:rsidRPr="00000000" w14:paraId="0000005C">
      <w:pPr>
        <w:rPr>
          <w:sz w:val="21"/>
          <w:szCs w:val="21"/>
        </w:rPr>
      </w:pPr>
      <w:r w:rsidDel="00000000" w:rsidR="00000000" w:rsidRPr="00000000">
        <w:rPr>
          <w:sz w:val="21"/>
          <w:szCs w:val="21"/>
          <w:rtl w:val="0"/>
        </w:rPr>
        <w:t xml:space="preserve">Five published tumor growth/inhibition models (Moore, Bonate, Claret, Stein, and Wang) </w:t>
      </w:r>
      <w:hyperlink r:id="rId9">
        <w:r w:rsidDel="00000000" w:rsidR="00000000" w:rsidRPr="00000000">
          <w:rPr>
            <w:sz w:val="21"/>
            <w:szCs w:val="21"/>
            <w:shd w:fill="auto" w:val="clear"/>
            <w:vertAlign w:val="baseline"/>
            <w:rtl w:val="0"/>
          </w:rPr>
          <w:t xml:space="preserve">[1], [2], [3], [4], [5]</w:t>
        </w:r>
      </w:hyperlink>
      <w:r w:rsidDel="00000000" w:rsidR="00000000" w:rsidRPr="00000000">
        <w:rPr>
          <w:sz w:val="21"/>
          <w:szCs w:val="21"/>
          <w:rtl w:val="0"/>
        </w:rPr>
        <w:t xml:space="preserve"> were developed using the non-linear mixed effects approach and were evaluated using the same procedure with appropriate adaptations based on the model parameters.  For each model, a fixed effect for each study arm (e.g., different chemotherapy/immunotherapy combinations), capturing differences in growth- and shrinkage-related parameters by arm. All models were estimated using each of the four datasets representing 25%, 50%, 75%, and 100% of the original data.  The model estimated using 100% of the data was used to establish “ground truth” parameter estimates. Parameter estimates from the 25%, 50%, and 75% data cuts were then compared against those from the 100% dataset to assess how much information is needed to stabilize model parameters. All nonlinear mixed effect models were estimated using NONMEM v7.5.1 and post processing was done in R (v4.3.1).  </w:t>
      </w:r>
    </w:p>
    <w:p w:rsidR="00000000" w:rsidDel="00000000" w:rsidP="00000000" w:rsidRDefault="00000000" w:rsidRPr="00000000" w14:paraId="0000005D">
      <w:pPr>
        <w:rPr>
          <w:sz w:val="21"/>
          <w:szCs w:val="21"/>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Table S2</w:t>
      </w:r>
      <w:r w:rsidDel="00000000" w:rsidR="00000000" w:rsidRPr="00000000">
        <w:rPr>
          <w:rtl w:val="0"/>
        </w:rPr>
        <w:t xml:space="preserve"> Summary of TGI Models</w:t>
      </w:r>
    </w:p>
    <w:p w:rsidR="00000000" w:rsidDel="00000000" w:rsidP="00000000" w:rsidRDefault="00000000" w:rsidRPr="00000000" w14:paraId="0000005F">
      <w:pPr>
        <w:rPr>
          <w:sz w:val="21"/>
          <w:szCs w:val="21"/>
        </w:rPr>
      </w:pPr>
      <w:r w:rsidDel="00000000" w:rsidR="00000000" w:rsidRPr="00000000">
        <w:rPr>
          <w:rtl w:val="0"/>
        </w:rPr>
      </w:r>
    </w:p>
    <w:tbl>
      <w:tblPr>
        <w:tblStyle w:val="Table2"/>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550"/>
        <w:gridCol w:w="2025"/>
        <w:gridCol w:w="2505"/>
        <w:tblGridChange w:id="0">
          <w:tblGrid>
            <w:gridCol w:w="795"/>
            <w:gridCol w:w="2550"/>
            <w:gridCol w:w="2025"/>
            <w:gridCol w:w="2505"/>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b w:val="1"/>
                <w:bCs w:val="1"/>
                <w:sz w:val="20"/>
                <w:szCs w:val="20"/>
              </w:rPr>
            </w:pPr>
            <w:r w:rsidDel="00000000" w:rsidR="00000000" w:rsidRPr="00000000">
              <w:rPr>
                <w:b w:val="1"/>
                <w:bCs w:val="1"/>
                <w:sz w:val="20"/>
                <w:szCs w:val="20"/>
                <w:rtl w:val="0"/>
              </w:rPr>
              <w:t xml:space="preserve">Author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b w:val="1"/>
                <w:bCs w:val="1"/>
                <w:sz w:val="20"/>
                <w:szCs w:val="20"/>
              </w:rPr>
            </w:pPr>
            <w:r w:rsidDel="00000000" w:rsidR="00000000" w:rsidRPr="00000000">
              <w:rPr>
                <w:b w:val="1"/>
                <w:bCs w:val="1"/>
                <w:sz w:val="20"/>
                <w:szCs w:val="20"/>
                <w:rtl w:val="0"/>
              </w:rPr>
              <w:t xml:space="preserve">Functional Forms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b w:val="1"/>
                <w:bCs w:val="1"/>
                <w:sz w:val="20"/>
                <w:szCs w:val="20"/>
              </w:rPr>
            </w:pPr>
            <w:r w:rsidDel="00000000" w:rsidR="00000000" w:rsidRPr="00000000">
              <w:rPr>
                <w:b w:val="1"/>
                <w:bCs w:val="1"/>
                <w:sz w:val="20"/>
                <w:szCs w:val="20"/>
                <w:rtl w:val="0"/>
              </w:rPr>
              <w:t xml:space="preserve">Treatment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b w:val="1"/>
                <w:bCs w:val="1"/>
                <w:sz w:val="20"/>
                <w:szCs w:val="20"/>
              </w:rPr>
            </w:pPr>
            <w:r w:rsidDel="00000000" w:rsidR="00000000" w:rsidRPr="00000000">
              <w:rPr>
                <w:b w:val="1"/>
                <w:bCs w:val="1"/>
                <w:sz w:val="20"/>
                <w:szCs w:val="20"/>
                <w:rtl w:val="0"/>
              </w:rPr>
              <w:t xml:space="preserve">Comments</w:t>
            </w:r>
          </w:p>
        </w:tc>
      </w:tr>
      <w:tr>
        <w:trPr>
          <w:cantSplit w:val="0"/>
          <w:trHeight w:val="10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jc w:val="center"/>
              <w:rPr>
                <w:sz w:val="20"/>
                <w:szCs w:val="20"/>
              </w:rPr>
            </w:pPr>
            <w:r w:rsidDel="00000000" w:rsidR="00000000" w:rsidRPr="00000000">
              <w:rPr>
                <w:sz w:val="20"/>
                <w:szCs w:val="20"/>
                <w:rtl w:val="0"/>
              </w:rPr>
              <w:t xml:space="preserve">Stein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jc w:val="center"/>
              <w:rPr>
                <w:sz w:val="20"/>
                <w:szCs w:val="20"/>
              </w:rPr>
            </w:pPr>
            <w:r w:rsidDel="00000000" w:rsidR="00000000" w:rsidRPr="00000000">
              <w:rPr>
                <w:sz w:val="20"/>
                <w:szCs w:val="20"/>
                <w:rtl w:val="0"/>
              </w:rPr>
              <w:t xml:space="preserve">SLD = BSL · (e^(-kd·t) + e^(kg·t - 1))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jc w:val="center"/>
              <w:rPr>
                <w:sz w:val="20"/>
                <w:szCs w:val="20"/>
              </w:rPr>
            </w:pPr>
            <w:r w:rsidDel="00000000" w:rsidR="00000000" w:rsidRPr="00000000">
              <w:rPr>
                <w:sz w:val="20"/>
                <w:szCs w:val="20"/>
                <w:rtl w:val="0"/>
              </w:rPr>
              <w:t xml:space="preserve">Thalidomide, thalidomide + docetaxel, bevacizumab...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jc w:val="center"/>
              <w:rPr>
                <w:sz w:val="20"/>
                <w:szCs w:val="20"/>
              </w:rPr>
            </w:pPr>
            <w:r w:rsidDel="00000000" w:rsidR="00000000" w:rsidRPr="00000000">
              <w:rPr>
                <w:sz w:val="20"/>
                <w:szCs w:val="20"/>
                <w:rtl w:val="0"/>
              </w:rPr>
              <w:t xml:space="preserve">Metastatic castration resistant prostate carcinoma; model PSA ratio to baseline (prostate-specific-antigen)</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jc w:val="center"/>
              <w:rPr>
                <w:sz w:val="20"/>
                <w:szCs w:val="20"/>
              </w:rPr>
            </w:pPr>
            <w:r w:rsidDel="00000000" w:rsidR="00000000" w:rsidRPr="00000000">
              <w:rPr>
                <w:sz w:val="20"/>
                <w:szCs w:val="20"/>
                <w:rtl w:val="0"/>
              </w:rPr>
              <w:t xml:space="preserve">Moore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jc w:val="center"/>
              <w:rPr>
                <w:sz w:val="20"/>
                <w:szCs w:val="20"/>
              </w:rPr>
            </w:pPr>
            <w:r w:rsidDel="00000000" w:rsidR="00000000" w:rsidRPr="00000000">
              <w:rPr>
                <w:sz w:val="20"/>
                <w:szCs w:val="20"/>
                <w:rtl w:val="0"/>
              </w:rPr>
              <w:t xml:space="preserve">SLD = BSL · e^(-kd·t) + Y1 · (1 - e^(kg·t))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jc w:val="center"/>
              <w:rPr>
                <w:sz w:val="20"/>
                <w:szCs w:val="20"/>
              </w:rPr>
            </w:pPr>
            <w:r w:rsidDel="00000000" w:rsidR="00000000" w:rsidRPr="00000000">
              <w:rPr>
                <w:sz w:val="20"/>
                <w:szCs w:val="20"/>
                <w:rtl w:val="0"/>
              </w:rPr>
              <w:t xml:space="preserve">Durvalumab, Durvalumab+ tremelimumab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jc w:val="center"/>
              <w:rPr>
                <w:sz w:val="20"/>
                <w:szCs w:val="20"/>
              </w:rPr>
            </w:pPr>
            <w:r w:rsidDel="00000000" w:rsidR="00000000" w:rsidRPr="00000000">
              <w:rPr>
                <w:sz w:val="20"/>
                <w:szCs w:val="20"/>
                <w:rtl w:val="0"/>
              </w:rPr>
              <w:t xml:space="preserve">Metastatic head and neck squamous cell carcinoma</w:t>
            </w:r>
          </w:p>
        </w:tc>
      </w:tr>
      <w:tr>
        <w:trPr>
          <w:cantSplit w:val="0"/>
          <w:trHeight w:val="10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jc w:val="center"/>
              <w:rPr>
                <w:sz w:val="20"/>
                <w:szCs w:val="20"/>
              </w:rPr>
            </w:pPr>
            <w:r w:rsidDel="00000000" w:rsidR="00000000" w:rsidRPr="00000000">
              <w:rPr>
                <w:sz w:val="20"/>
                <w:szCs w:val="20"/>
                <w:rtl w:val="0"/>
              </w:rPr>
              <w:t xml:space="preserve">Claret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jc w:val="center"/>
              <w:rPr>
                <w:sz w:val="20"/>
                <w:szCs w:val="20"/>
              </w:rPr>
            </w:pPr>
            <w:r w:rsidDel="00000000" w:rsidR="00000000" w:rsidRPr="00000000">
              <w:rPr>
                <w:sz w:val="20"/>
                <w:szCs w:val="20"/>
                <w:rtl w:val="0"/>
              </w:rPr>
              <w:t xml:space="preserve">dSLD/dt = kg · SLD - kd · SLD</w:t>
              <w:br w:type="textWrapping"/>
              <w:t xml:space="preserve">kd = kd0 · e^(-λ·t)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jc w:val="center"/>
              <w:rPr>
                <w:sz w:val="20"/>
                <w:szCs w:val="20"/>
              </w:rPr>
            </w:pPr>
            <w:r w:rsidDel="00000000" w:rsidR="00000000" w:rsidRPr="00000000">
              <w:rPr>
                <w:sz w:val="20"/>
                <w:szCs w:val="20"/>
                <w:rtl w:val="0"/>
              </w:rPr>
              <w:t xml:space="preserve">Capecitabine; fluorouracil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jc w:val="center"/>
              <w:rPr>
                <w:sz w:val="20"/>
                <w:szCs w:val="20"/>
              </w:rPr>
            </w:pPr>
            <w:r w:rsidDel="00000000" w:rsidR="00000000" w:rsidRPr="00000000">
              <w:rPr>
                <w:sz w:val="20"/>
                <w:szCs w:val="20"/>
                <w:rtl w:val="0"/>
              </w:rPr>
              <w:t xml:space="preserve">Colorectal cancer; Take into account the emergence of drug resistance due to cell mutations</w:t>
            </w:r>
          </w:p>
        </w:tc>
      </w:tr>
      <w:tr>
        <w:trPr>
          <w:cantSplit w:val="0"/>
          <w:trHeight w:val="21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jc w:val="center"/>
              <w:rPr>
                <w:sz w:val="20"/>
                <w:szCs w:val="20"/>
              </w:rPr>
            </w:pPr>
            <w:r w:rsidDel="00000000" w:rsidR="00000000" w:rsidRPr="00000000">
              <w:rPr>
                <w:sz w:val="20"/>
                <w:szCs w:val="20"/>
                <w:rtl w:val="0"/>
              </w:rPr>
              <w:t xml:space="preserve">Wang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jc w:val="center"/>
              <w:rPr>
                <w:sz w:val="20"/>
                <w:szCs w:val="20"/>
              </w:rPr>
            </w:pPr>
            <w:r w:rsidDel="00000000" w:rsidR="00000000" w:rsidRPr="00000000">
              <w:rPr>
                <w:sz w:val="20"/>
                <w:szCs w:val="20"/>
                <w:rtl w:val="0"/>
              </w:rPr>
              <w:t xml:space="preserve">SLD = BSL · e^(-kd·t) + kg · 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jc w:val="center"/>
              <w:rPr>
                <w:sz w:val="20"/>
                <w:szCs w:val="20"/>
              </w:rPr>
            </w:pPr>
            <w:r w:rsidDel="00000000" w:rsidR="00000000" w:rsidRPr="00000000">
              <w:rPr>
                <w:sz w:val="20"/>
                <w:szCs w:val="20"/>
                <w:rtl w:val="0"/>
              </w:rPr>
              <w:t xml:space="preserve">Paclitaxel and carboplatin; paclitaxel, carboplatin, and bevacizumab; pemetrexed; vinorelbine and cisplatin.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jc w:val="center"/>
              <w:rPr>
                <w:sz w:val="20"/>
                <w:szCs w:val="20"/>
              </w:rPr>
            </w:pPr>
            <w:r w:rsidDel="00000000" w:rsidR="00000000" w:rsidRPr="00000000">
              <w:rPr>
                <w:sz w:val="20"/>
                <w:szCs w:val="20"/>
                <w:rtl w:val="0"/>
              </w:rPr>
              <w:t xml:space="preserve">NSCLC</w:t>
            </w:r>
          </w:p>
        </w:tc>
      </w:tr>
      <w:tr>
        <w:trPr>
          <w:cantSplit w:val="0"/>
          <w:trHeight w:val="10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jc w:val="center"/>
              <w:rPr>
                <w:sz w:val="20"/>
                <w:szCs w:val="20"/>
              </w:rPr>
            </w:pPr>
            <w:r w:rsidDel="00000000" w:rsidR="00000000" w:rsidRPr="00000000">
              <w:rPr>
                <w:sz w:val="20"/>
                <w:szCs w:val="20"/>
                <w:rtl w:val="0"/>
              </w:rPr>
              <w:t xml:space="preserve">Bonate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jc w:val="center"/>
              <w:rPr>
                <w:sz w:val="20"/>
                <w:szCs w:val="20"/>
              </w:rPr>
            </w:pPr>
            <w:r w:rsidDel="00000000" w:rsidR="00000000" w:rsidRPr="00000000">
              <w:rPr>
                <w:sz w:val="20"/>
                <w:szCs w:val="20"/>
                <w:rtl w:val="0"/>
              </w:rPr>
              <w:t xml:space="preserve">SLD = BSL · e^(-kd·t) + kg · t + h · t^2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jc w:val="center"/>
              <w:rPr>
                <w:sz w:val="20"/>
                <w:szCs w:val="20"/>
              </w:rPr>
            </w:pPr>
            <w:r w:rsidDel="00000000" w:rsidR="00000000" w:rsidRPr="00000000">
              <w:rPr>
                <w:sz w:val="20"/>
                <w:szCs w:val="20"/>
                <w:rtl w:val="0"/>
              </w:rPr>
              <w:t xml:space="preserve">Pazopanib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jc w:val="center"/>
              <w:rPr>
                <w:sz w:val="20"/>
                <w:szCs w:val="20"/>
              </w:rPr>
            </w:pPr>
            <w:r w:rsidDel="00000000" w:rsidR="00000000" w:rsidRPr="00000000">
              <w:rPr>
                <w:sz w:val="20"/>
                <w:szCs w:val="20"/>
                <w:rtl w:val="0"/>
              </w:rPr>
              <w:t xml:space="preserve">Renal cell carcinoma; Modification for Wang’s model to ensure smooth curvature at nadir</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1hpy5vmdt47x" w:id="6"/>
      <w:bookmarkEnd w:id="6"/>
      <w:r w:rsidDel="00000000" w:rsidR="00000000" w:rsidRPr="00000000">
        <w:rPr>
          <w:rtl w:val="0"/>
        </w:rPr>
        <w:t xml:space="preserve">Tumor Dynamic Neural-ODE (TDNODE) Model Development</w:t>
      </w:r>
    </w:p>
    <w:p w:rsidR="00000000" w:rsidDel="00000000" w:rsidP="00000000" w:rsidRDefault="00000000" w:rsidRPr="00000000" w14:paraId="0000007A">
      <w:pPr>
        <w:pStyle w:val="Heading3"/>
        <w:rPr>
          <w:color w:val="000000"/>
        </w:rPr>
      </w:pPr>
      <w:bookmarkStart w:colFirst="0" w:colLast="0" w:name="_q3iuhagx5784" w:id="7"/>
      <w:bookmarkEnd w:id="7"/>
      <w:r w:rsidDel="00000000" w:rsidR="00000000" w:rsidRPr="00000000">
        <w:rPr>
          <w:color w:val="000000"/>
          <w:rtl w:val="0"/>
        </w:rPr>
        <w:t xml:space="preserve">Data Preprocessing</w:t>
      </w:r>
    </w:p>
    <w:p w:rsidR="00000000" w:rsidDel="00000000" w:rsidP="00000000" w:rsidRDefault="00000000" w:rsidRPr="00000000" w14:paraId="0000007B">
      <w:pPr>
        <w:spacing w:after="240" w:before="240" w:lineRule="auto"/>
        <w:rPr/>
      </w:pPr>
      <w:r w:rsidDel="00000000" w:rsidR="00000000" w:rsidRPr="00000000">
        <w:rPr>
          <w:rtl w:val="0"/>
        </w:rPr>
        <w:t xml:space="preserve">SLD measurements were Z-score normalized using the mean and standard deviation derived from the training cohort. To enhance the diversity of observed tumor dynamic profiles and augment the training dataset, a patient-dependent data augmentation scheme was applied. This involved truncating temporal data traces and rescaling time for individual patients within the training set.  This is a form of up-sampling at the individual patient level.  Models were trained and evaluated using four distinct datasets, representing 25%, 50%, 75%, and 100% of the original patient cohort, as described in the methods and shown in </w:t>
      </w:r>
      <w:r w:rsidDel="00000000" w:rsidR="00000000" w:rsidRPr="00000000">
        <w:rPr>
          <w:b w:val="1"/>
          <w:bCs w:val="1"/>
          <w:rtl w:val="0"/>
        </w:rPr>
        <w:t xml:space="preserve">Supplementary table S1</w:t>
      </w:r>
      <w:r w:rsidDel="00000000" w:rsidR="00000000" w:rsidRPr="00000000">
        <w:rPr>
          <w:rtl w:val="0"/>
        </w:rPr>
        <w:t xml:space="preserve">.</w:t>
      </w:r>
    </w:p>
    <w:p w:rsidR="00000000" w:rsidDel="00000000" w:rsidP="00000000" w:rsidRDefault="00000000" w:rsidRPr="00000000" w14:paraId="0000007C">
      <w:pPr>
        <w:pStyle w:val="Heading3"/>
        <w:spacing w:after="240" w:before="240" w:lineRule="auto"/>
        <w:rPr>
          <w:color w:val="000000"/>
        </w:rPr>
      </w:pPr>
      <w:bookmarkStart w:colFirst="0" w:colLast="0" w:name="_a4gha25r47pa" w:id="8"/>
      <w:bookmarkEnd w:id="8"/>
      <w:r w:rsidDel="00000000" w:rsidR="00000000" w:rsidRPr="00000000">
        <w:rPr>
          <w:color w:val="000000"/>
          <w:rtl w:val="0"/>
        </w:rPr>
        <w:t xml:space="preserve">Tumor Dynamic Neural-ODE (TDNODE) Model Architecture</w:t>
      </w:r>
    </w:p>
    <w:p w:rsidR="00000000" w:rsidDel="00000000" w:rsidP="00000000" w:rsidRDefault="00000000" w:rsidRPr="00000000" w14:paraId="0000007D">
      <w:pPr>
        <w:spacing w:after="240" w:before="240" w:lineRule="auto"/>
        <w:rPr/>
      </w:pPr>
      <w:r w:rsidDel="00000000" w:rsidR="00000000" w:rsidRPr="00000000">
        <w:rPr>
          <w:rtl w:val="0"/>
        </w:rPr>
        <w:t xml:space="preserve">The TDNODE model utilizes an encoder-decoder architecture designed for longitudinal tumor dynamic modeling. The architecture comprises four main components: an Initial Condition Encoder, a Parameter Encoder, a Neural-ODE decoder, and a Reducer.</w:t>
      </w:r>
    </w:p>
    <w:p w:rsidR="00000000" w:rsidDel="00000000" w:rsidP="00000000" w:rsidRDefault="00000000" w:rsidRPr="00000000" w14:paraId="0000007E">
      <w:pPr>
        <w:spacing w:after="240" w:before="240" w:lineRule="auto"/>
        <w:rPr/>
      </w:pPr>
      <w:r w:rsidDel="00000000" w:rsidR="00000000" w:rsidRPr="00000000">
        <w:rPr>
          <w:rtl w:val="0"/>
        </w:rPr>
        <w:t xml:space="preserve">The Initial Condition Encoder, implemented as a Gated Recurrent Unit (GRU) recurrent neural network (RNN), processes pre-treatment tumor size data and corresponding observation times. Its output is a 4-dimensional latent vector representing the initial tumor state.</w:t>
      </w:r>
    </w:p>
    <w:p w:rsidR="00000000" w:rsidDel="00000000" w:rsidP="00000000" w:rsidRDefault="00000000" w:rsidRPr="00000000" w14:paraId="0000007F">
      <w:pPr>
        <w:spacing w:after="240" w:before="240" w:lineRule="auto"/>
        <w:rPr/>
      </w:pPr>
      <w:r w:rsidDel="00000000" w:rsidR="00000000" w:rsidRPr="00000000">
        <w:rPr>
          <w:rtl w:val="0"/>
        </w:rPr>
        <w:t xml:space="preserve">The Parameter Encoder, an attention-based Long Short-Term Memory (LSTM) network followed by linear layers, processes post-treatment tumor size data and observation times. This encoder produces a 2-dimensional representation corresponding to tumor kinetic parameters. The output is subsequently scaled by the last observed time for a patient to ensure the parameters have units of inverse time, interpretable as kinetic rates.</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The Neural-ODE decoder forms the core of the dynamic model. It takes the outputs from the Initial Condition Encoder (as the initial state) and the Parameter Encoder (as kinetic parameters) to generate continuous predictions of the longitudinal tumor state. This is achieved by numerically integrating an ordinary differential equation (ODE) system defined by a neural network, denoted as fθ​. The ODE solver used was the Dormand−Prince 5(4) method (dopri5), employing continuous adjoint sensitivity for efficient backpropagation during training. The vector field fθ​ was specifically designed to satisfy a generalized homogeneity condition, which facilitates the interpretation of the learned parameters as kinetic rates.</w:t>
      </w:r>
    </w:p>
    <w:p w:rsidR="00000000" w:rsidDel="00000000" w:rsidP="00000000" w:rsidRDefault="00000000" w:rsidRPr="00000000" w14:paraId="00000081">
      <w:pPr>
        <w:spacing w:after="240" w:before="240" w:lineRule="auto"/>
        <w:rPr/>
      </w:pPr>
      <w:r w:rsidDel="00000000" w:rsidR="00000000" w:rsidRPr="00000000">
        <w:rPr>
          <w:rtl w:val="0"/>
        </w:rPr>
        <w:t xml:space="preserve">Finally, the Reducer, composed of fully connected layers, maps the 4-dimensional latent tumor state output from the ODE solver at specific time points to a scalar value representing the predicted SLD at those times.  More details on the TDNODE architecture can be found in Laurie M. et. al 2023 [6]. </w:t>
      </w:r>
    </w:p>
    <w:p w:rsidR="00000000" w:rsidDel="00000000" w:rsidP="00000000" w:rsidRDefault="00000000" w:rsidRPr="00000000" w14:paraId="00000082">
      <w:pPr>
        <w:pStyle w:val="Heading3"/>
        <w:rPr>
          <w:color w:val="000000"/>
        </w:rPr>
      </w:pPr>
      <w:bookmarkStart w:colFirst="0" w:colLast="0" w:name="_q3iuhagx5784" w:id="7"/>
      <w:bookmarkEnd w:id="7"/>
      <w:r w:rsidDel="00000000" w:rsidR="00000000" w:rsidRPr="00000000">
        <w:rPr>
          <w:color w:val="000000"/>
          <w:rtl w:val="0"/>
        </w:rPr>
        <w:t xml:space="preserve">Model Training</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The TDNODE model was trained for 150 epochs using the ADAM optimization algorithm. A learning rate of 5×10−5 and an L2 weight decay of 1×10−3 were applied. Training was performed using a batch size of 8 and an observation window corresponding to the “seen” data and evaluated on the “unseen” SLD observations based on the respective data truncation. The loss function minimized during training was the root-mean-squared error (RMSE) between the predicted and observed SLD values at the recorded measurement times. A masking mechanism was incorporated into the loss calculation to properly handle the variable number of measurements available for each patient.</w:t>
      </w:r>
    </w:p>
    <w:p w:rsidR="00000000" w:rsidDel="00000000" w:rsidP="00000000" w:rsidRDefault="00000000" w:rsidRPr="00000000" w14:paraId="00000084">
      <w:pPr>
        <w:pStyle w:val="Heading2"/>
        <w:rPr/>
      </w:pPr>
      <w:bookmarkStart w:colFirst="0" w:colLast="0" w:name="_cp1rrkwbuff3" w:id="9"/>
      <w:bookmarkEnd w:id="9"/>
      <w:r w:rsidDel="00000000" w:rsidR="00000000" w:rsidRPr="00000000">
        <w:rPr>
          <w:rtl w:val="0"/>
        </w:rPr>
        <w:t xml:space="preserve">All Model Evaluation (additional details)</w:t>
      </w:r>
    </w:p>
    <w:p w:rsidR="00000000" w:rsidDel="00000000" w:rsidP="00000000" w:rsidRDefault="00000000" w:rsidRPr="00000000" w14:paraId="00000085">
      <w:pPr>
        <w:spacing w:after="240" w:before="240" w:lineRule="auto"/>
        <w:rPr/>
      </w:pPr>
      <w:r w:rsidDel="00000000" w:rsidR="00000000" w:rsidRPr="00000000">
        <w:rPr>
          <w:rtl w:val="0"/>
        </w:rPr>
        <w:t xml:space="preserve">After fitting each model on the observed portion of the data, model performance was evaluated using a comprehensive set of metrics comparing predicted versus observed target lesion SLD measurements. The primary metrics included measures of prediction bias, error magnitude, and model explanatory power.  To assess prediction accuracy, we calculated both the mean and median Relative Percent Error (RPE). The mean RPE was computed as the average percentage difference between predicted and observed values, incorporating a small correction factor (ε = 1 mm) to accommodate SLD measurements with a zero value observed in patients achieving a complete response:</w:t>
      </w:r>
    </w:p>
    <w:p w:rsidR="00000000" w:rsidDel="00000000" w:rsidP="00000000" w:rsidRDefault="00000000" w:rsidRPr="00000000" w14:paraId="00000086">
      <w:pPr>
        <w:spacing w:line="276" w:lineRule="auto"/>
        <w:jc w:val="center"/>
        <w:rPr/>
      </w:pPr>
      <m:oMath>
        <m:r>
          <w:rPr>
            <w:rFonts w:ascii="Cambria Math" w:cs="Cambria Math" w:eastAsia="Cambria Math" w:hAnsi="Cambria Math"/>
          </w:rPr>
          <m:t xml:space="preserve">Mean RPE = </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n</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r>
          <w:rPr>
            <w:rFonts w:ascii="Cambria Math" w:cs="Cambria Math" w:eastAsia="Cambria Math" w:hAnsi="Cambria Math"/>
          </w:rPr>
          <m:t xml:space="preserve">(100×</m:t>
        </m:r>
        <m:f>
          <m:fPr>
            <m:ctrlPr>
              <w:rPr>
                <w:rFonts w:ascii="Cambria Math" w:cs="Cambria Math" w:eastAsia="Cambria Math" w:hAnsi="Cambria Math"/>
              </w:rPr>
            </m:ctrlPr>
          </m:fPr>
          <m:num>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num>
          <m:den>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 </m:t>
                </m:r>
              </m:sub>
            </m:sSub>
            <m:r>
              <w:rPr>
                <w:rFonts w:ascii="Cambria Math" w:cs="Cambria Math" w:eastAsia="Cambria Math" w:hAnsi="Cambria Math"/>
              </w:rPr>
              <m:t xml:space="preserve">+ ϵ</m:t>
            </m:r>
          </m:den>
        </m:f>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87">
      <w:pPr>
        <w:spacing w:after="240" w:before="240" w:line="276" w:lineRule="auto"/>
        <w:rPr/>
      </w:pPr>
      <w:r w:rsidDel="00000000" w:rsidR="00000000" w:rsidRPr="00000000">
        <w:rPr>
          <w:rtl w:val="0"/>
        </w:rPr>
        <w:t xml:space="preserve">where n represents the total number of observations, </w:t>
      </w:r>
      <m:oMath>
        <m:sSub>
          <m:sSubPr>
            <m:ctrlPr>
              <w:rPr/>
            </m:ctrlPr>
          </m:sSubPr>
          <m:e>
            <m:acc>
              <m:accPr>
                <m:chr m:val="̂"/>
                <m:ctrlPr>
                  <w:rPr/>
                </m:ctrlPr>
              </m:accPr>
              <m:e>
                <m:r>
                  <w:rPr/>
                  <m:t xml:space="preserve">y</m:t>
                </m:r>
              </m:e>
            </m:acc>
          </m:e>
          <m:sub>
            <m:r>
              <w:rPr/>
              <m:t xml:space="preserve">i</m:t>
            </m:r>
          </m:sub>
        </m:sSub>
      </m:oMath>
      <w:r w:rsidDel="00000000" w:rsidR="00000000" w:rsidRPr="00000000">
        <w:rPr>
          <w:rtl w:val="0"/>
        </w:rPr>
        <w:t xml:space="preserve"> represents the model-predicted SLD value and </w:t>
      </w:r>
      <m:oMath>
        <m:sSub>
          <m:sSubPr>
            <m:ctrlPr>
              <w:rPr/>
            </m:ctrlPr>
          </m:sSubPr>
          <m:e>
            <m:r>
              <w:rPr/>
              <m:t xml:space="preserve">y</m:t>
            </m:r>
          </m:e>
          <m:sub>
            <m:r>
              <w:rPr/>
              <m:t xml:space="preserve">i</m:t>
            </m:r>
          </m:sub>
        </m:sSub>
      </m:oMath>
      <w:r w:rsidDel="00000000" w:rsidR="00000000" w:rsidRPr="00000000">
        <w:rPr>
          <w:rtl w:val="0"/>
        </w:rPr>
        <w:t xml:space="preserve"> is the observed SLD value. The median RPE was calculated analogously using the median of the percentage differences.</w:t>
      </w:r>
    </w:p>
    <w:p w:rsidR="00000000" w:rsidDel="00000000" w:rsidP="00000000" w:rsidRDefault="00000000" w:rsidRPr="00000000" w14:paraId="00000088">
      <w:pPr>
        <w:spacing w:after="240" w:before="240" w:line="276" w:lineRule="auto"/>
        <w:rPr/>
      </w:pPr>
      <w:r w:rsidDel="00000000" w:rsidR="00000000" w:rsidRPr="00000000">
        <w:rPr>
          <w:rtl w:val="0"/>
        </w:rPr>
        <w:t xml:space="preserve">To quantify the magnitude of prediction errors we calculated the root mean squared error (RMSE):</w:t>
      </w:r>
    </w:p>
    <w:p w:rsidR="00000000" w:rsidDel="00000000" w:rsidP="00000000" w:rsidRDefault="00000000" w:rsidRPr="00000000" w14:paraId="00000089">
      <w:pPr>
        <w:spacing w:line="276" w:lineRule="auto"/>
        <w:jc w:val="center"/>
        <w:rPr/>
      </w:pPr>
      <m:oMath>
        <m:r>
          <w:rPr>
            <w:rFonts w:ascii="Cambria Math" w:cs="Cambria Math" w:eastAsia="Cambria Math" w:hAnsi="Cambria Math"/>
          </w:rPr>
          <m:t xml:space="preserve">RMSE = </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n</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r>
              <w:rPr>
                <w:rFonts w:ascii="Cambria Math" w:cs="Cambria Math" w:eastAsia="Cambria Math" w:hAnsi="Cambria Math"/>
              </w:rPr>
              <m:t xml:space="preserve">(</m:t>
            </m:r>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2</m:t>
                </m:r>
              </m:sup>
            </m:sSup>
          </m:e>
        </m:rad>
      </m:oMath>
      <w:r w:rsidDel="00000000" w:rsidR="00000000" w:rsidRPr="00000000">
        <w:rPr>
          <w:rtl w:val="0"/>
        </w:rPr>
      </w:r>
    </w:p>
    <w:p w:rsidR="00000000" w:rsidDel="00000000" w:rsidP="00000000" w:rsidRDefault="00000000" w:rsidRPr="00000000" w14:paraId="0000008A">
      <w:pPr>
        <w:spacing w:after="240" w:before="240" w:line="276" w:lineRule="auto"/>
        <w:rPr/>
      </w:pPr>
      <w:r w:rsidDel="00000000" w:rsidR="00000000" w:rsidRPr="00000000">
        <w:rPr>
          <w:rtl w:val="0"/>
        </w:rPr>
        <w:t xml:space="preserve">Unlike RPE which is primarily a measure of prediction accuracy, RMSE provides a measure of prediction precision. Additionally, we calculated R² to assess the proportion of variance in observed values explained by the model:</w:t>
      </w:r>
    </w:p>
    <w:p w:rsidR="00000000" w:rsidDel="00000000" w:rsidP="00000000" w:rsidRDefault="00000000" w:rsidRPr="00000000" w14:paraId="0000008B">
      <w:pPr>
        <w:spacing w:after="240" w:before="240" w:line="480" w:lineRule="auto"/>
        <w:jc w:val="center"/>
        <w:rPr/>
      </w:pPr>
      <m:oMath>
        <m:sSup>
          <m:sSupPr>
            <m:ctrlPr>
              <w:rPr/>
            </m:ctrlPr>
          </m:sSupPr>
          <m:e>
            <m:r>
              <w:rPr/>
              <m:t xml:space="preserve">R</m:t>
            </m:r>
          </m:e>
          <m:sup>
            <m:r>
              <w:rPr/>
              <m:t xml:space="preserve">2</m:t>
            </m:r>
          </m:sup>
        </m:sSup>
        <m:r>
          <w:rPr/>
          <m:t xml:space="preserve"> = 1 - </m:t>
        </m:r>
        <m:f>
          <m:fPr>
            <m:ctrlPr>
              <w:rPr/>
            </m:ctrlPr>
          </m:fPr>
          <m:num>
            <m:nary>
              <m:naryPr>
                <m:chr m:val="∑"/>
                <m:ctrlPr>
                  <w:rPr/>
                </m:ctrlPr>
              </m:naryPr>
              <m:sub>
                <m:r>
                  <w:rPr/>
                  <m:t xml:space="preserve">i=1</m:t>
                </m:r>
              </m:sub>
              <m:sup>
                <m:r>
                  <w:rPr/>
                  <m:t xml:space="preserve">n</m:t>
                </m:r>
              </m:sup>
            </m:nary>
            <m:r>
              <w:rPr/>
              <m:t xml:space="preserve">(</m:t>
            </m:r>
            <m:sSub>
              <m:sSubPr>
                <m:ctrlPr>
                  <w:rPr/>
                </m:ctrlPr>
              </m:sSubPr>
              <m:e>
                <m:r>
                  <w:rPr/>
                  <m:t xml:space="preserve">y</m:t>
                </m:r>
              </m:e>
              <m:sub>
                <m:r>
                  <w:rPr/>
                  <m:t xml:space="preserve">i</m:t>
                </m:r>
              </m:sub>
            </m:sSub>
            <m:r>
              <w:rPr/>
              <m:t xml:space="preserve">- </m:t>
            </m:r>
            <m:sSub>
              <m:sSubPr>
                <m:ctrlPr>
                  <w:rPr/>
                </m:ctrlPr>
              </m:sSubPr>
              <m:e>
                <m:acc>
                  <m:accPr>
                    <m:chr m:val="̂"/>
                    <m:ctrlPr>
                      <w:rPr/>
                    </m:ctrlPr>
                  </m:accPr>
                  <m:e>
                    <m:r>
                      <w:rPr/>
                      <m:t xml:space="preserve">y</m:t>
                    </m:r>
                  </m:e>
                </m:acc>
              </m:e>
              <m:sub>
                <m:r>
                  <w:rPr/>
                  <m:t xml:space="preserve">i</m:t>
                </m:r>
              </m:sub>
            </m:sSub>
            <m:sSup>
              <m:sSupPr>
                <m:ctrlPr>
                  <w:rPr/>
                </m:ctrlPr>
              </m:sSupPr>
              <m:e>
                <m:r>
                  <w:rPr/>
                  <m:t xml:space="preserve">)</m:t>
                </m:r>
              </m:e>
              <m:sup>
                <m:r>
                  <w:rPr/>
                  <m:t xml:space="preserve">2</m:t>
                </m:r>
              </m:sup>
            </m:sSup>
          </m:num>
          <m:den>
            <m:nary>
              <m:naryPr>
                <m:chr m:val="∑"/>
                <m:ctrlPr>
                  <w:rPr/>
                </m:ctrlPr>
              </m:naryPr>
              <m:sub>
                <m:r>
                  <w:rPr/>
                  <m:t xml:space="preserve">i=1</m:t>
                </m:r>
              </m:sub>
              <m:sup>
                <m:r>
                  <w:rPr/>
                  <m:t xml:space="preserve">n</m:t>
                </m:r>
              </m:sup>
            </m:nary>
            <m:r>
              <w:rPr/>
              <m:t xml:space="preserve">(</m:t>
            </m:r>
            <m:sSub>
              <m:sSubPr>
                <m:ctrlPr>
                  <w:rPr/>
                </m:ctrlPr>
              </m:sSubPr>
              <m:e>
                <m:r>
                  <w:rPr/>
                  <m:t xml:space="preserve">y</m:t>
                </m:r>
              </m:e>
              <m:sub>
                <m:r>
                  <w:rPr/>
                  <m:t xml:space="preserve">i</m:t>
                </m:r>
              </m:sub>
            </m:sSub>
            <m:r>
              <w:rPr/>
              <m:t xml:space="preserve"> - </m:t>
            </m:r>
            <m:acc>
              <m:accPr>
                <m:chr m:val="̄"/>
                <m:ctrlPr>
                  <w:rPr/>
                </m:ctrlPr>
              </m:accPr>
              <m:e>
                <m:r>
                  <w:rPr/>
                  <m:t xml:space="preserve">y</m:t>
                </m:r>
              </m:e>
            </m:acc>
            <m:sSup>
              <m:sSupPr>
                <m:ctrlPr>
                  <w:rPr/>
                </m:ctrlPr>
              </m:sSupPr>
              <m:e>
                <m:r>
                  <w:rPr/>
                  <m:t xml:space="preserve">)</m:t>
                </m:r>
              </m:e>
              <m:sup>
                <m:r>
                  <w:rPr/>
                  <m:t xml:space="preserve">2</m:t>
                </m:r>
              </m:sup>
            </m:sSup>
          </m:den>
        </m:f>
      </m:oMath>
      <w:r w:rsidDel="00000000" w:rsidR="00000000" w:rsidRPr="00000000">
        <w:rPr>
          <w:rtl w:val="0"/>
        </w:rPr>
      </w:r>
    </w:p>
    <w:p w:rsidR="00000000" w:rsidDel="00000000" w:rsidP="00000000" w:rsidRDefault="00000000" w:rsidRPr="00000000" w14:paraId="0000008C">
      <w:pPr>
        <w:spacing w:after="240" w:before="240" w:line="276" w:lineRule="auto"/>
        <w:rPr/>
      </w:pPr>
      <w:r w:rsidDel="00000000" w:rsidR="00000000" w:rsidRPr="00000000">
        <w:rPr>
          <w:rtl w:val="0"/>
        </w:rPr>
        <w:t xml:space="preserve">where </w:t>
      </w:r>
      <m:oMath>
        <m:acc>
          <m:accPr>
            <m:chr m:val="̄"/>
            <m:ctrlPr>
              <w:rPr/>
            </m:ctrlPr>
          </m:accPr>
          <m:e>
            <m:r>
              <w:rPr/>
              <m:t xml:space="preserve">y</m:t>
            </m:r>
          </m:e>
        </m:acc>
      </m:oMath>
      <w:r w:rsidDel="00000000" w:rsidR="00000000" w:rsidRPr="00000000">
        <w:rPr>
          <w:rtl w:val="0"/>
        </w:rPr>
        <w:t xml:space="preserve"> represents the mean of all observed values.</w:t>
      </w:r>
    </w:p>
    <w:p w:rsidR="00000000" w:rsidDel="00000000" w:rsidP="00000000" w:rsidRDefault="00000000" w:rsidRPr="00000000" w14:paraId="0000008D">
      <w:pPr>
        <w:spacing w:after="240" w:before="240" w:line="276" w:lineRule="auto"/>
        <w:rPr/>
      </w:pPr>
      <w:r w:rsidDel="00000000" w:rsidR="00000000" w:rsidRPr="00000000">
        <w:rPr>
          <w:rtl w:val="0"/>
        </w:rPr>
        <w:t xml:space="preserve">To account for potential bias introduced by patients with shorter follow-up (e.g. those who progressed and discontinued early), we implemented a weighted bootstrap resampling of the prediction errors. In each of 500 iterations, we resampled the patient population with replacement, assigning higher sampling weights to patients with fewer observations (i.e., up-weighting early progressors). This is analogous to an inverse probability weighting approach. It increases the influence of subjects who would otherwise be underrepresented in error calculations. For each resample, we drew a fixed number of tumor measurements per patient (with replacement) and recalculated all performance metrics.</w:t>
      </w:r>
    </w:p>
    <w:p w:rsidR="00000000" w:rsidDel="00000000" w:rsidP="00000000" w:rsidRDefault="00000000" w:rsidRPr="00000000" w14:paraId="0000008E">
      <w:pPr>
        <w:spacing w:after="240" w:before="240" w:line="276" w:lineRule="auto"/>
        <w:rPr/>
      </w:pPr>
      <w:r w:rsidDel="00000000" w:rsidR="00000000" w:rsidRPr="00000000">
        <w:rPr>
          <w:rtl w:val="0"/>
        </w:rPr>
        <w:t xml:space="preserve">Final results were summarized using the mean, standard deviation, median, and median absolute error, providing robust estimates of model performance and associated uncertainty.</w:t>
      </w:r>
      <w:r w:rsidDel="00000000" w:rsidR="00000000" w:rsidRPr="00000000">
        <w:rPr>
          <w:rtl w:val="0"/>
        </w:rPr>
        <w:t xml:space="preserve"> In essence, this bootstrap scheme upweights patients who drop out early (often due to progression), preventing long-term responders (with many data points) from dominating the error metrics. </w:t>
      </w:r>
    </w:p>
    <w:p w:rsidR="00000000" w:rsidDel="00000000" w:rsidP="00000000" w:rsidRDefault="00000000" w:rsidRPr="00000000" w14:paraId="0000008F">
      <w:pPr>
        <w:pStyle w:val="Heading1"/>
        <w:rPr/>
      </w:pPr>
      <w:bookmarkStart w:colFirst="0" w:colLast="0" w:name="_d03tbaxc3doj" w:id="10"/>
      <w:bookmarkEnd w:id="10"/>
      <w:r w:rsidDel="00000000" w:rsidR="00000000" w:rsidRPr="00000000">
        <w:rPr>
          <w:rtl w:val="0"/>
        </w:rPr>
        <w:t xml:space="preserve">Additional Results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Figure S3 Longitudinal Tumor Size Reduction by Immunotherapy Status.</w:t>
      </w:r>
      <w:r w:rsidDel="00000000" w:rsidR="00000000" w:rsidRPr="00000000">
        <w:rPr>
          <w:rtl w:val="0"/>
        </w:rPr>
        <w:t xml:space="preserve"> The solid lines represent the mean tumor size for the observations across time with the shaded region representing the 95% confidence interval.  To visualize the longitudinal trend, continuous time points were grouped into bins based on a quantile method which divides the data into time bins with approximately equal number of points per time bin.  </w:t>
      </w:r>
    </w:p>
    <w:p w:rsidR="00000000" w:rsidDel="00000000" w:rsidP="00000000" w:rsidRDefault="00000000" w:rsidRPr="00000000" w14:paraId="00000092">
      <w:pPr>
        <w:rPr/>
      </w:pPr>
      <w:r w:rsidDel="00000000" w:rsidR="00000000" w:rsidRPr="00000000">
        <w:rPr/>
        <w:drawing>
          <wp:inline distB="114300" distT="114300" distL="114300" distR="114300">
            <wp:extent cx="5943600" cy="59436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Figure S4 Sample of longitudinal patient trajectories by tumor dynamic cluster</w:t>
      </w:r>
      <w:r w:rsidDel="00000000" w:rsidR="00000000" w:rsidRPr="00000000">
        <w:rPr>
          <w:rtl w:val="0"/>
        </w:rPr>
        <w:t xml:space="preserve">.  Random Sample of 500 subjects demonstrating the qualitative trends captured in each response category. </w:t>
      </w:r>
    </w:p>
    <w:p w:rsidR="00000000" w:rsidDel="00000000" w:rsidP="00000000" w:rsidRDefault="00000000" w:rsidRPr="00000000" w14:paraId="0000009F">
      <w:pPr>
        <w:rPr>
          <w:b w:val="1"/>
          <w:bCs w:val="1"/>
        </w:rPr>
      </w:pPr>
      <w:r w:rsidDel="00000000" w:rsidR="00000000" w:rsidRPr="00000000">
        <w:rPr>
          <w:b w:val="1"/>
          <w:bCs w:val="1"/>
        </w:rPr>
        <w:drawing>
          <wp:inline distB="114300" distT="114300" distL="114300" distR="114300">
            <wp:extent cx="5943600" cy="47498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60" w:lineRule="auto"/>
        <w:rPr>
          <w:b w:val="1"/>
          <w:bCs w:val="1"/>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Table S3</w:t>
      </w:r>
      <w:r w:rsidDel="00000000" w:rsidR="00000000" w:rsidRPr="00000000">
        <w:rPr>
          <w:rtl w:val="0"/>
        </w:rPr>
        <w:t xml:space="preserve"> </w:t>
      </w:r>
      <w:r w:rsidDel="00000000" w:rsidR="00000000" w:rsidRPr="00000000">
        <w:rPr>
          <w:b w:val="1"/>
          <w:bCs w:val="1"/>
          <w:rtl w:val="0"/>
        </w:rPr>
        <w:t xml:space="preserve">Quantification of error for TGI and TDNODE models on unseen data assessed at various values of follow-up times based on inclusion of an immune checkpoint inhibitor (IO+/IO-). </w:t>
      </w:r>
      <w:r w:rsidDel="00000000" w:rsidR="00000000" w:rsidRPr="00000000">
        <w:rPr>
          <w:rtl w:val="0"/>
        </w:rPr>
        <w:t xml:space="preserve">For each value of follow-up time (25%, 50% and 75% of total trial duration), all models were fitted or trained with the corresponding “seen” data, and subsequently evaluated on the remaining unseen data. The predictive performance was evaluated using several evaluation metrics based on the unseen data. To derive the predictive performance statistics, 500 bootstraps were performed from which the respective metric was computed.  </w:t>
      </w:r>
    </w:p>
    <w:p w:rsidR="00000000" w:rsidDel="00000000" w:rsidP="00000000" w:rsidRDefault="00000000" w:rsidRPr="00000000" w14:paraId="000000A3">
      <w:pPr>
        <w:rPr/>
      </w:pPr>
      <w:r w:rsidDel="00000000" w:rsidR="00000000" w:rsidRPr="00000000">
        <w:rPr>
          <w:rtl w:val="0"/>
        </w:rPr>
      </w:r>
    </w:p>
    <w:tbl>
      <w:tblPr>
        <w:tblStyle w:val="Table3"/>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155"/>
        <w:gridCol w:w="1155"/>
        <w:gridCol w:w="840"/>
        <w:gridCol w:w="1155"/>
        <w:gridCol w:w="1080"/>
        <w:gridCol w:w="1140"/>
        <w:gridCol w:w="840"/>
        <w:gridCol w:w="1800"/>
        <w:tblGridChange w:id="0">
          <w:tblGrid>
            <w:gridCol w:w="750"/>
            <w:gridCol w:w="1155"/>
            <w:gridCol w:w="1155"/>
            <w:gridCol w:w="840"/>
            <w:gridCol w:w="1155"/>
            <w:gridCol w:w="1080"/>
            <w:gridCol w:w="1140"/>
            <w:gridCol w:w="840"/>
            <w:gridCol w:w="1800"/>
          </w:tblGrid>
        </w:tblGridChange>
      </w:tblGrid>
      <w:tr>
        <w:trPr>
          <w:cantSplit w:val="0"/>
          <w:trHeight w:val="360" w:hRule="atLeast"/>
          <w:tblHeader w:val="0"/>
        </w:trPr>
        <w:tc>
          <w:tcPr>
            <w:tcBorders>
              <w:top w:color="d3d3d3" w:space="0" w:sz="13" w:val="single"/>
              <w:left w:color="d3d3d3" w:space="0" w:sz="7" w:val="single"/>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A4">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4"/>
            <w:tcBorders>
              <w:top w:color="d3d3d3" w:space="0" w:sz="13" w:val="single"/>
              <w:left w:color="000000" w:space="0" w:sz="0" w:val="nil"/>
              <w:bottom w:color="d3d3d3" w:space="0" w:sz="13"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0A5">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IO+</w:t>
            </w:r>
          </w:p>
        </w:tc>
        <w:tc>
          <w:tcPr>
            <w:gridSpan w:val="4"/>
            <w:tcBorders>
              <w:top w:color="d3d3d3" w:space="0" w:sz="13" w:val="single"/>
              <w:left w:color="000000" w:space="0" w:sz="0" w:val="nil"/>
              <w:bottom w:color="d3d3d3" w:space="0" w:sz="13"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A9">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IO-</w:t>
            </w:r>
          </w:p>
        </w:tc>
      </w:tr>
      <w:tr>
        <w:trPr>
          <w:cantSplit w:val="0"/>
          <w:trHeight w:val="630" w:hRule="atLeast"/>
          <w:tblHeader w:val="0"/>
        </w:trPr>
        <w:tc>
          <w:tcPr>
            <w:tcBorders>
              <w:top w:color="000000" w:space="0" w:sz="0" w:val="nil"/>
              <w:left w:color="d3d3d3" w:space="0" w:sz="7" w:val="single"/>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0AD">
            <w:pP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0AE">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Mean RPE (%)</w:t>
            </w:r>
            <w:r w:rsidDel="00000000" w:rsidR="00000000" w:rsidRPr="00000000">
              <w:rPr>
                <w:rFonts w:ascii="Calibri" w:cs="Calibri" w:eastAsia="Calibri" w:hAnsi="Calibri"/>
                <w:i w:val="1"/>
                <w:iCs w:val="1"/>
                <w:sz w:val="20"/>
                <w:szCs w:val="20"/>
                <w:vertAlign w:val="superscript"/>
                <w:rtl w:val="0"/>
              </w:rPr>
              <w:t xml:space="preserve">1</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0AF">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Median RPE (%)</w:t>
            </w:r>
            <w:r w:rsidDel="00000000" w:rsidR="00000000" w:rsidRPr="00000000">
              <w:rPr>
                <w:rFonts w:ascii="Calibri" w:cs="Calibri" w:eastAsia="Calibri" w:hAnsi="Calibri"/>
                <w:i w:val="1"/>
                <w:iCs w:val="1"/>
                <w:sz w:val="20"/>
                <w:szCs w:val="20"/>
                <w:vertAlign w:val="superscript"/>
                <w:rtl w:val="0"/>
              </w:rPr>
              <w:t xml:space="preserve">1</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0B0">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R2</w:t>
            </w:r>
            <w:r w:rsidDel="00000000" w:rsidR="00000000" w:rsidRPr="00000000">
              <w:rPr>
                <w:rFonts w:ascii="Calibri" w:cs="Calibri" w:eastAsia="Calibri" w:hAnsi="Calibri"/>
                <w:i w:val="1"/>
                <w:iCs w:val="1"/>
                <w:sz w:val="20"/>
                <w:szCs w:val="20"/>
                <w:vertAlign w:val="superscript"/>
                <w:rtl w:val="0"/>
              </w:rPr>
              <w:t xml:space="preserve">1</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0B1">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RMSE</w:t>
            </w:r>
            <w:r w:rsidDel="00000000" w:rsidR="00000000" w:rsidRPr="00000000">
              <w:rPr>
                <w:rFonts w:ascii="Calibri" w:cs="Calibri" w:eastAsia="Calibri" w:hAnsi="Calibri"/>
                <w:i w:val="1"/>
                <w:iCs w:val="1"/>
                <w:sz w:val="20"/>
                <w:szCs w:val="20"/>
                <w:vertAlign w:val="superscript"/>
                <w:rtl w:val="0"/>
              </w:rPr>
              <w:t xml:space="preserve">1</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0B2">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Mean Bias (%)</w:t>
            </w:r>
            <w:r w:rsidDel="00000000" w:rsidR="00000000" w:rsidRPr="00000000">
              <w:rPr>
                <w:rFonts w:ascii="Calibri" w:cs="Calibri" w:eastAsia="Calibri" w:hAnsi="Calibri"/>
                <w:i w:val="1"/>
                <w:iCs w:val="1"/>
                <w:sz w:val="20"/>
                <w:szCs w:val="20"/>
                <w:vertAlign w:val="superscript"/>
                <w:rtl w:val="0"/>
              </w:rPr>
              <w:t xml:space="preserve">1</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0B3">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Median Bias (%)</w:t>
            </w:r>
            <w:r w:rsidDel="00000000" w:rsidR="00000000" w:rsidRPr="00000000">
              <w:rPr>
                <w:rFonts w:ascii="Calibri" w:cs="Calibri" w:eastAsia="Calibri" w:hAnsi="Calibri"/>
                <w:i w:val="1"/>
                <w:iCs w:val="1"/>
                <w:sz w:val="20"/>
                <w:szCs w:val="20"/>
                <w:vertAlign w:val="superscript"/>
                <w:rtl w:val="0"/>
              </w:rPr>
              <w:t xml:space="preserve">1</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0B4">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R2</w:t>
            </w:r>
            <w:r w:rsidDel="00000000" w:rsidR="00000000" w:rsidRPr="00000000">
              <w:rPr>
                <w:rFonts w:ascii="Calibri" w:cs="Calibri" w:eastAsia="Calibri" w:hAnsi="Calibri"/>
                <w:i w:val="1"/>
                <w:iCs w:val="1"/>
                <w:sz w:val="20"/>
                <w:szCs w:val="20"/>
                <w:vertAlign w:val="superscript"/>
                <w:rtl w:val="0"/>
              </w:rPr>
              <w:t xml:space="preserve">1</w:t>
            </w:r>
          </w:p>
        </w:tc>
        <w:tc>
          <w:tcPr>
            <w:tcBorders>
              <w:top w:color="000000" w:space="0" w:sz="0" w:val="nil"/>
              <w:left w:color="000000" w:space="0" w:sz="0" w:val="nil"/>
              <w:bottom w:color="d3d3d3" w:space="0" w:sz="13"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B5">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RMSE</w:t>
            </w:r>
            <w:r w:rsidDel="00000000" w:rsidR="00000000" w:rsidRPr="00000000">
              <w:rPr>
                <w:rFonts w:ascii="Calibri" w:cs="Calibri" w:eastAsia="Calibri" w:hAnsi="Calibri"/>
                <w:i w:val="1"/>
                <w:iCs w:val="1"/>
                <w:sz w:val="20"/>
                <w:szCs w:val="20"/>
                <w:vertAlign w:val="superscript"/>
                <w:rtl w:val="0"/>
              </w:rPr>
              <w:t xml:space="preserve">1</w:t>
            </w:r>
          </w:p>
        </w:tc>
      </w:tr>
      <w:tr>
        <w:trPr>
          <w:cantSplit w:val="0"/>
          <w:trHeight w:val="345" w:hRule="atLeast"/>
          <w:tblHeader w:val="0"/>
        </w:trPr>
        <w:tc>
          <w:tcPr>
            <w:gridSpan w:val="9"/>
            <w:tcBorders>
              <w:top w:color="000000" w:space="0" w:sz="0" w:val="nil"/>
              <w:left w:color="d3d3d3" w:space="0" w:sz="7" w:val="single"/>
              <w:bottom w:color="d3d3d3" w:space="0" w:sz="13" w:val="single"/>
              <w:right w:color="d3d3d3" w:space="0" w:sz="7" w:val="single"/>
            </w:tcBorders>
            <w:shd w:fill="auto" w:val="clear"/>
            <w:tcMar>
              <w:top w:w="20.0" w:type="dxa"/>
              <w:left w:w="60.0" w:type="dxa"/>
              <w:bottom w:w="0.0" w:type="dxa"/>
              <w:right w:w="60.0" w:type="dxa"/>
            </w:tcMar>
            <w:vAlign w:val="top"/>
          </w:tcPr>
          <w:p w:rsidR="00000000" w:rsidDel="00000000" w:rsidP="00000000" w:rsidRDefault="00000000" w:rsidRPr="00000000" w14:paraId="000000B6">
            <w:pPr>
              <w:spacing w:after="6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25% Enrollment</w:t>
            </w:r>
          </w:p>
        </w:tc>
      </w:tr>
      <w:tr>
        <w:trPr>
          <w:cantSplit w:val="0"/>
          <w:trHeight w:val="555"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BF">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claret</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C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133.26 (38.42)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C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4.64 (1.67)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C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0.20 (0.26)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C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325.23 (278.73)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C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15.64 (5.92)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C5">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1.66 (2.51)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C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0.65 (0.07)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C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23.86 (3.06)</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C8">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stein</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C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447.61 (91.87)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C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24.33 (4.95)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C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0.06 (0.03)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C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169.87 (40.92)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C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100.31 (36.19)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C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10.06 (3.68)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C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0.25 (0.10)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D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56.26 (11.47)</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D1">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moore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D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247.52 (53.31)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D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10.24 (3.01)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D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0.31 (0.06)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D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51.62 (6.27)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D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72.94 (29.02)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D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8.67 (2.66)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D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0.50 (0.09)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D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32.86 (4.55)</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DA">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wang</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D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315.20 (60.41)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D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26.77 (4.22)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D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0.22 (0.05)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D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54.75 (5.43)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D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59.29 (21.78)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E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5.32 (2.98)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E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0.48 (0.10)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E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27.73 (3.81)</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E3">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bonate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E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612.30 (124.62)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E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39.85 (6.05)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E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0.03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E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153.88 (36.53)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E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108.47 (38.54)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E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12.55 (5.39)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E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0.19 (0.13)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E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56.11 (16.22)</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EC">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tdnode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ED">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84.50 (19.49)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EE">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-2.92 (1.36)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EF">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0.82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F0">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17.44 (1.01)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F1">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11.81 (8.58)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F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-4.01 (2.35)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F3">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0.80 (0.04)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F4">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15.16 (1.45)</w:t>
            </w:r>
          </w:p>
        </w:tc>
      </w:tr>
      <w:tr>
        <w:trPr>
          <w:cantSplit w:val="0"/>
          <w:trHeight w:val="345" w:hRule="atLeast"/>
          <w:tblHeader w:val="0"/>
        </w:trPr>
        <w:tc>
          <w:tcPr>
            <w:gridSpan w:val="9"/>
            <w:tcBorders>
              <w:top w:color="000000" w:space="0" w:sz="0" w:val="nil"/>
              <w:left w:color="d3d3d3" w:space="0" w:sz="7" w:val="single"/>
              <w:bottom w:color="d3d3d3" w:space="0" w:sz="13" w:val="single"/>
              <w:right w:color="d3d3d3" w:space="0" w:sz="7" w:val="single"/>
            </w:tcBorders>
            <w:shd w:fill="auto" w:val="clear"/>
            <w:tcMar>
              <w:top w:w="20.0" w:type="dxa"/>
              <w:left w:w="60.0" w:type="dxa"/>
              <w:bottom w:w="0.0" w:type="dxa"/>
              <w:right w:w="60.0" w:type="dxa"/>
            </w:tcMar>
            <w:vAlign w:val="top"/>
          </w:tcPr>
          <w:p w:rsidR="00000000" w:rsidDel="00000000" w:rsidP="00000000" w:rsidRDefault="00000000" w:rsidRPr="00000000" w14:paraId="000000F5">
            <w:pPr>
              <w:spacing w:after="6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50% Enrollment</w:t>
            </w:r>
          </w:p>
        </w:tc>
      </w:tr>
      <w:tr>
        <w:trPr>
          <w:cantSplit w:val="0"/>
          <w:trHeight w:val="555"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FE">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claret</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0F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56.61 (7.88)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0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5.72 (0.75)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0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0.52 (0.16)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0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41.41 (14.11)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0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16.73 (3.96)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04">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0.10 (1.12)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0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0.61 (0.08)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0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27.69 (4.79)</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07">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stein</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0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169.42 (18.05)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0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19.44 (1.74)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0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0.33 (0.05)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0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59.89 (6.79)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0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67.21 (10.57)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0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9.55 (2.37)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0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0.36 (0.06)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0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51.11 (8.17)</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10">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moore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1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96.59 (10.56)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1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8.95 (1.01)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1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0.77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1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20.98 (0.69)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1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38.94 (7.46)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1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2.90 (1.10)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1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0.71 (0.06)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1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20.80 (2.74)</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19">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wang</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1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142.44 (14.94)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1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19.01 (1.80)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1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0.53 (0.03)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1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33.93 (1.62)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1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54.78 (9.27)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1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8.48 (1.75)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2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0.52 (0.08)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2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30.52 (4.88)</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22">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bonate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2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152.41 (14.99)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2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19.89 (1.91)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2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0.51 (0.04)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2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34.71 (1.58)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2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56.79 (10.00)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2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8.64 (1.73)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2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0.51 (0.07)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2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30.84 (4.81)</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2B">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tdnode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2C">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42.86 (6.77)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2D">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1.04 (0.71)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2E">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0.86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2F">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15.39 (0.56)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30">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7.96 (4.28)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3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-4.74 (0.97)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32">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0.86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33">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14.13 (0.80)</w:t>
            </w:r>
          </w:p>
        </w:tc>
      </w:tr>
      <w:tr>
        <w:trPr>
          <w:cantSplit w:val="0"/>
          <w:trHeight w:val="345" w:hRule="atLeast"/>
          <w:tblHeader w:val="0"/>
        </w:trPr>
        <w:tc>
          <w:tcPr>
            <w:gridSpan w:val="9"/>
            <w:tcBorders>
              <w:top w:color="000000" w:space="0" w:sz="0" w:val="nil"/>
              <w:left w:color="d3d3d3" w:space="0" w:sz="7" w:val="single"/>
              <w:bottom w:color="d3d3d3" w:space="0" w:sz="13" w:val="single"/>
              <w:right w:color="d3d3d3" w:space="0" w:sz="7" w:val="single"/>
            </w:tcBorders>
            <w:shd w:fill="auto" w:val="clear"/>
            <w:tcMar>
              <w:top w:w="20.0" w:type="dxa"/>
              <w:left w:w="60.0" w:type="dxa"/>
              <w:bottom w:w="0.0" w:type="dxa"/>
              <w:right w:w="60.0" w:type="dxa"/>
            </w:tcMar>
            <w:vAlign w:val="top"/>
          </w:tcPr>
          <w:p w:rsidR="00000000" w:rsidDel="00000000" w:rsidP="00000000" w:rsidRDefault="00000000" w:rsidRPr="00000000" w14:paraId="00000134">
            <w:pPr>
              <w:spacing w:after="6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75% Enrollment</w:t>
            </w:r>
          </w:p>
        </w:tc>
      </w:tr>
      <w:tr>
        <w:trPr>
          <w:cantSplit w:val="0"/>
          <w:trHeight w:val="555"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3D">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claret</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3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38.24 (9.57)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3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6.26 (0.54)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4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0.35 (0.39)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4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189.75 (181.51)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4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16.46 (3.10)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4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4.56 (0.78)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4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0.60 (0.18)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4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42.25 (19.14)</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46">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stein</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4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87.35 (7.03)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4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25.19 (1.36)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4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0.59 (0.05)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4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32.08 (3.39)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4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57.64 (6.39)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4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16.10 (1.34)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4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0.42 (0.13)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4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71.90 (29.34)</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4F">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moore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5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51.86 (5.10)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5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7.60 (0.64)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5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0.84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5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13.75 (0.47)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5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31.72 (4.79)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5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6.31 (1.05)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5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0.86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5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15.06 (1.21)</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58">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wang</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5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75.92 (6.11)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5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23.73 (1.16)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5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0.70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5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22.31 (0.82)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5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47.40 (5.54)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5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13.86 (1.73)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5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0.66 (0.08)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6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30.64 (7.56)</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61">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bonate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6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76.27 (5.93)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6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23.76 (1.11)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6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0.70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6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22.27 (0.76)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6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47.43 (5.50)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6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13.86 (1.72)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6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0.66 (0.07)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6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30.83 (7.41)</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6A">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tdnode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6B">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22.88 (3.15)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6C">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2.41 (0.39)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6D">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0.89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6E">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11.15 (0.47)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6F">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10.63 (2.56)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70">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0.51 (0.60)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71">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0.93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172">
            <w:pPr>
              <w:spacing w:after="60" w:lineRule="auto"/>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10.41 (0.83)</w:t>
            </w:r>
          </w:p>
        </w:tc>
      </w:tr>
      <w:tr>
        <w:trPr>
          <w:cantSplit w:val="0"/>
          <w:trHeight w:val="405" w:hRule="atLeast"/>
          <w:tblHeader w:val="0"/>
        </w:trPr>
        <w:tc>
          <w:tcPr>
            <w:gridSpan w:val="9"/>
            <w:tcBorders>
              <w:top w:color="000000" w:space="0" w:sz="0" w:val="nil"/>
              <w:left w:color="000000" w:space="0" w:sz="0" w:val="nil"/>
              <w:bottom w:color="000000" w:space="0" w:sz="0" w:val="nil"/>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173">
            <w:pPr>
              <w:spacing w:after="60" w:lineRule="auto"/>
              <w:rPr>
                <w:rFonts w:ascii="Calibri" w:cs="Calibri" w:eastAsia="Calibri" w:hAnsi="Calibri"/>
                <w:sz w:val="20"/>
                <w:szCs w:val="20"/>
              </w:rPr>
            </w:pPr>
            <w:r w:rsidDel="00000000" w:rsidR="00000000" w:rsidRPr="00000000">
              <w:rPr>
                <w:rFonts w:ascii="Calibri" w:cs="Calibri" w:eastAsia="Calibri" w:hAnsi="Calibri"/>
                <w:i w:val="1"/>
                <w:iCs w:val="1"/>
                <w:sz w:val="34"/>
                <w:szCs w:val="34"/>
                <w:vertAlign w:val="superscript"/>
                <w:rtl w:val="0"/>
              </w:rPr>
              <w:t xml:space="preserve">1</w:t>
            </w:r>
            <w:r w:rsidDel="00000000" w:rsidR="00000000" w:rsidRPr="00000000">
              <w:rPr>
                <w:rFonts w:ascii="Calibri" w:cs="Calibri" w:eastAsia="Calibri" w:hAnsi="Calibri"/>
                <w:sz w:val="20"/>
                <w:szCs w:val="20"/>
                <w:rtl w:val="0"/>
              </w:rPr>
              <w:t xml:space="preserve">Values represent the boostrapped mean (std) unless indicated otherwise; std = standard deviation</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Table S4</w:t>
      </w:r>
      <w:r w:rsidDel="00000000" w:rsidR="00000000" w:rsidRPr="00000000">
        <w:rPr>
          <w:rtl w:val="0"/>
        </w:rPr>
        <w:t xml:space="preserve"> </w:t>
      </w:r>
      <w:r w:rsidDel="00000000" w:rsidR="00000000" w:rsidRPr="00000000">
        <w:rPr>
          <w:b w:val="1"/>
          <w:bCs w:val="1"/>
          <w:rtl w:val="0"/>
        </w:rPr>
        <w:t xml:space="preserve">Quantification of error for TGI and TDNODE models on unseen data assessed at various values of follow-up times based on tumor dynamic cluster. </w:t>
      </w:r>
      <w:r w:rsidDel="00000000" w:rsidR="00000000" w:rsidRPr="00000000">
        <w:rPr>
          <w:rtl w:val="0"/>
        </w:rPr>
        <w:t xml:space="preserve">For each value of follow-up time (25%, 50% and 75% of total trial duration), all models were fitted or trained with the corresponding “seen” data, and subsequently evaluated on the remaining unseen data. The predictive performance was evaluated using several evaluation metrics based on the unseen data. To derive the predictive performance statistics, 500 bootstraps were performed from which the respective metric was computed. </w:t>
      </w:r>
    </w:p>
    <w:p w:rsidR="00000000" w:rsidDel="00000000" w:rsidP="00000000" w:rsidRDefault="00000000" w:rsidRPr="00000000" w14:paraId="0000017E">
      <w:pPr>
        <w:keepNext w:val="1"/>
        <w:spacing w:after="60" w:line="240" w:lineRule="auto"/>
        <w:rPr>
          <w:rFonts w:ascii="Cambria" w:cs="Cambria" w:eastAsia="Cambria" w:hAnsi="Cambria"/>
          <w:sz w:val="24"/>
          <w:szCs w:val="24"/>
        </w:rPr>
      </w:pPr>
      <w:r w:rsidDel="00000000" w:rsidR="00000000" w:rsidRPr="00000000">
        <w:rPr>
          <w:rtl w:val="0"/>
        </w:rPr>
      </w:r>
    </w:p>
    <w:tbl>
      <w:tblPr>
        <w:tblStyle w:val="Table4"/>
        <w:tblW w:w="10230.0" w:type="dxa"/>
        <w:jc w:val="center"/>
        <w:tblLayout w:type="fixed"/>
        <w:tblLook w:val="0000"/>
      </w:tblPr>
      <w:tblGrid>
        <w:gridCol w:w="990"/>
        <w:gridCol w:w="615"/>
        <w:gridCol w:w="810"/>
        <w:gridCol w:w="810"/>
        <w:gridCol w:w="675"/>
        <w:gridCol w:w="705"/>
        <w:gridCol w:w="750"/>
        <w:gridCol w:w="660"/>
        <w:gridCol w:w="750"/>
        <w:gridCol w:w="870"/>
        <w:gridCol w:w="750"/>
        <w:gridCol w:w="735"/>
        <w:gridCol w:w="1110"/>
        <w:tblGridChange w:id="0">
          <w:tblGrid>
            <w:gridCol w:w="990"/>
            <w:gridCol w:w="615"/>
            <w:gridCol w:w="810"/>
            <w:gridCol w:w="810"/>
            <w:gridCol w:w="675"/>
            <w:gridCol w:w="705"/>
            <w:gridCol w:w="750"/>
            <w:gridCol w:w="660"/>
            <w:gridCol w:w="750"/>
            <w:gridCol w:w="870"/>
            <w:gridCol w:w="750"/>
            <w:gridCol w:w="735"/>
            <w:gridCol w:w="1110"/>
          </w:tblGrid>
        </w:tblGridChange>
      </w:tblGrid>
      <w:tr>
        <w:trPr>
          <w:cantSplit w:val="1"/>
          <w:tblHeader w:val="1"/>
        </w:trPr>
        <w:tc>
          <w:tcPr>
            <w:vMerge w:val="restart"/>
            <w:tcBorders>
              <w:top w:color="d3d3d3" w:space="0" w:sz="16" w:val="single"/>
            </w:tcBorders>
            <w:vAlign w:val="bottom"/>
          </w:tcPr>
          <w:p w:rsidR="00000000" w:rsidDel="00000000" w:rsidP="00000000" w:rsidRDefault="00000000" w:rsidRPr="00000000" w14:paraId="0000017F">
            <w:pPr>
              <w:keepNext w:val="1"/>
              <w:spacing w:after="60" w:line="240" w:lineRule="auto"/>
              <w:rPr>
                <w:rFonts w:ascii="Cambria" w:cs="Cambria" w:eastAsia="Cambria" w:hAnsi="Cambria"/>
                <w:sz w:val="24"/>
                <w:szCs w:val="24"/>
              </w:rPr>
            </w:pPr>
            <w:r w:rsidDel="00000000" w:rsidR="00000000" w:rsidRPr="00000000">
              <w:rPr>
                <w:rtl w:val="0"/>
              </w:rPr>
            </w:r>
          </w:p>
        </w:tc>
        <w:tc>
          <w:tcPr>
            <w:gridSpan w:val="3"/>
            <w:tcBorders>
              <w:top w:color="d3d3d3" w:space="0" w:sz="16" w:val="single"/>
              <w:bottom w:color="000000" w:space="0" w:sz="16" w:val="single"/>
            </w:tcBorders>
          </w:tcPr>
          <w:p w:rsidR="00000000" w:rsidDel="00000000" w:rsidP="00000000" w:rsidRDefault="00000000" w:rsidRPr="00000000" w14:paraId="0000018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b w:val="1"/>
                <w:bCs w:val="1"/>
                <w:sz w:val="20"/>
                <w:szCs w:val="20"/>
                <w:rtl w:val="0"/>
              </w:rPr>
              <w:t xml:space="preserve">Mean Bias (SD)</w:t>
            </w:r>
            <w:r w:rsidDel="00000000" w:rsidR="00000000" w:rsidRPr="00000000">
              <w:rPr>
                <w:rtl w:val="0"/>
              </w:rPr>
            </w:r>
          </w:p>
        </w:tc>
        <w:tc>
          <w:tcPr>
            <w:gridSpan w:val="3"/>
            <w:tcBorders>
              <w:top w:color="d3d3d3" w:space="0" w:sz="16" w:val="single"/>
              <w:bottom w:color="000000" w:space="0" w:sz="16" w:val="single"/>
            </w:tcBorders>
          </w:tcPr>
          <w:p w:rsidR="00000000" w:rsidDel="00000000" w:rsidP="00000000" w:rsidRDefault="00000000" w:rsidRPr="00000000" w14:paraId="0000018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b w:val="1"/>
                <w:bCs w:val="1"/>
                <w:sz w:val="20"/>
                <w:szCs w:val="20"/>
                <w:rtl w:val="0"/>
              </w:rPr>
              <w:t xml:space="preserve">Median Bias (SD)</w:t>
            </w:r>
            <w:r w:rsidDel="00000000" w:rsidR="00000000" w:rsidRPr="00000000">
              <w:rPr>
                <w:rtl w:val="0"/>
              </w:rPr>
            </w:r>
          </w:p>
        </w:tc>
        <w:tc>
          <w:tcPr>
            <w:gridSpan w:val="3"/>
            <w:tcBorders>
              <w:top w:color="d3d3d3" w:space="0" w:sz="16" w:val="single"/>
              <w:bottom w:color="000000" w:space="0" w:sz="16" w:val="single"/>
            </w:tcBorders>
          </w:tcPr>
          <w:p w:rsidR="00000000" w:rsidDel="00000000" w:rsidP="00000000" w:rsidRDefault="00000000" w:rsidRPr="00000000" w14:paraId="0000018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b w:val="1"/>
                <w:bCs w:val="1"/>
                <w:sz w:val="20"/>
                <w:szCs w:val="20"/>
                <w:rtl w:val="0"/>
              </w:rPr>
              <w:t xml:space="preserve">R2 (SD)</w:t>
            </w:r>
            <w:r w:rsidDel="00000000" w:rsidR="00000000" w:rsidRPr="00000000">
              <w:rPr>
                <w:rtl w:val="0"/>
              </w:rPr>
            </w:r>
          </w:p>
        </w:tc>
        <w:tc>
          <w:tcPr>
            <w:gridSpan w:val="3"/>
            <w:tcBorders>
              <w:top w:color="d3d3d3" w:space="0" w:sz="16" w:val="single"/>
              <w:bottom w:color="000000" w:space="0" w:sz="16" w:val="single"/>
            </w:tcBorders>
          </w:tcPr>
          <w:p w:rsidR="00000000" w:rsidDel="00000000" w:rsidP="00000000" w:rsidRDefault="00000000" w:rsidRPr="00000000" w14:paraId="0000018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b w:val="1"/>
                <w:bCs w:val="1"/>
                <w:sz w:val="20"/>
                <w:szCs w:val="20"/>
                <w:rtl w:val="0"/>
              </w:rPr>
              <w:t xml:space="preserve">RMSE (SD)</w:t>
            </w:r>
            <w:r w:rsidDel="00000000" w:rsidR="00000000" w:rsidRPr="00000000">
              <w:rPr>
                <w:rtl w:val="0"/>
              </w:rPr>
            </w:r>
          </w:p>
        </w:tc>
      </w:tr>
      <w:tr>
        <w:trPr>
          <w:cantSplit w:val="1"/>
          <w:tblHeader w:val="1"/>
        </w:trPr>
        <w:tc>
          <w:tcPr>
            <w:vMerge w:val="continue"/>
            <w:tcBorders>
              <w:top w:color="d3d3d3" w:space="0" w:sz="16" w:val="single"/>
            </w:tcBorders>
            <w:vAlign w:val="bottom"/>
          </w:tcPr>
          <w:p w:rsidR="00000000" w:rsidDel="00000000" w:rsidP="00000000" w:rsidRDefault="00000000" w:rsidRPr="00000000" w14:paraId="0000018C">
            <w:pPr>
              <w:widowControl w:val="0"/>
              <w:rPr>
                <w:rFonts w:ascii="Cambria" w:cs="Cambria" w:eastAsia="Cambria" w:hAnsi="Cambria"/>
                <w:sz w:val="24"/>
                <w:szCs w:val="24"/>
              </w:rPr>
            </w:pPr>
            <w:r w:rsidDel="00000000" w:rsidR="00000000" w:rsidRPr="00000000">
              <w:rPr>
                <w:rtl w:val="0"/>
              </w:rPr>
            </w:r>
          </w:p>
        </w:tc>
        <w:tc>
          <w:tcPr>
            <w:tcBorders>
              <w:bottom w:color="000000" w:space="0" w:sz="16" w:val="single"/>
            </w:tcBorders>
          </w:tcPr>
          <w:p w:rsidR="00000000" w:rsidDel="00000000" w:rsidP="00000000" w:rsidRDefault="00000000" w:rsidRPr="00000000" w14:paraId="0000018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bottom w:color="000000" w:space="0" w:sz="16" w:val="single"/>
            </w:tcBorders>
          </w:tcPr>
          <w:p w:rsidR="00000000" w:rsidDel="00000000" w:rsidP="00000000" w:rsidRDefault="00000000" w:rsidRPr="00000000" w14:paraId="0000018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50</w:t>
            </w:r>
            <w:r w:rsidDel="00000000" w:rsidR="00000000" w:rsidRPr="00000000">
              <w:rPr>
                <w:rtl w:val="0"/>
              </w:rPr>
            </w:r>
          </w:p>
        </w:tc>
        <w:tc>
          <w:tcPr>
            <w:tcBorders>
              <w:bottom w:color="000000" w:space="0" w:sz="16" w:val="single"/>
            </w:tcBorders>
          </w:tcPr>
          <w:p w:rsidR="00000000" w:rsidDel="00000000" w:rsidP="00000000" w:rsidRDefault="00000000" w:rsidRPr="00000000" w14:paraId="0000018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75</w:t>
            </w:r>
            <w:r w:rsidDel="00000000" w:rsidR="00000000" w:rsidRPr="00000000">
              <w:rPr>
                <w:rtl w:val="0"/>
              </w:rPr>
            </w:r>
          </w:p>
        </w:tc>
        <w:tc>
          <w:tcPr>
            <w:tcBorders>
              <w:bottom w:color="000000" w:space="0" w:sz="16" w:val="single"/>
            </w:tcBorders>
          </w:tcPr>
          <w:p w:rsidR="00000000" w:rsidDel="00000000" w:rsidP="00000000" w:rsidRDefault="00000000" w:rsidRPr="00000000" w14:paraId="0000019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bottom w:color="000000" w:space="0" w:sz="16" w:val="single"/>
            </w:tcBorders>
          </w:tcPr>
          <w:p w:rsidR="00000000" w:rsidDel="00000000" w:rsidP="00000000" w:rsidRDefault="00000000" w:rsidRPr="00000000" w14:paraId="0000019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50</w:t>
            </w:r>
            <w:r w:rsidDel="00000000" w:rsidR="00000000" w:rsidRPr="00000000">
              <w:rPr>
                <w:rtl w:val="0"/>
              </w:rPr>
            </w:r>
          </w:p>
        </w:tc>
        <w:tc>
          <w:tcPr>
            <w:tcBorders>
              <w:bottom w:color="000000" w:space="0" w:sz="16" w:val="single"/>
            </w:tcBorders>
          </w:tcPr>
          <w:p w:rsidR="00000000" w:rsidDel="00000000" w:rsidP="00000000" w:rsidRDefault="00000000" w:rsidRPr="00000000" w14:paraId="0000019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75</w:t>
            </w:r>
            <w:r w:rsidDel="00000000" w:rsidR="00000000" w:rsidRPr="00000000">
              <w:rPr>
                <w:rtl w:val="0"/>
              </w:rPr>
            </w:r>
          </w:p>
        </w:tc>
        <w:tc>
          <w:tcPr>
            <w:tcBorders>
              <w:bottom w:color="000000" w:space="0" w:sz="16" w:val="single"/>
            </w:tcBorders>
          </w:tcPr>
          <w:p w:rsidR="00000000" w:rsidDel="00000000" w:rsidP="00000000" w:rsidRDefault="00000000" w:rsidRPr="00000000" w14:paraId="0000019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bottom w:color="000000" w:space="0" w:sz="16" w:val="single"/>
            </w:tcBorders>
          </w:tcPr>
          <w:p w:rsidR="00000000" w:rsidDel="00000000" w:rsidP="00000000" w:rsidRDefault="00000000" w:rsidRPr="00000000" w14:paraId="0000019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50</w:t>
            </w:r>
            <w:r w:rsidDel="00000000" w:rsidR="00000000" w:rsidRPr="00000000">
              <w:rPr>
                <w:rtl w:val="0"/>
              </w:rPr>
            </w:r>
          </w:p>
        </w:tc>
        <w:tc>
          <w:tcPr>
            <w:tcBorders>
              <w:bottom w:color="000000" w:space="0" w:sz="16" w:val="single"/>
            </w:tcBorders>
          </w:tcPr>
          <w:p w:rsidR="00000000" w:rsidDel="00000000" w:rsidP="00000000" w:rsidRDefault="00000000" w:rsidRPr="00000000" w14:paraId="0000019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75</w:t>
            </w:r>
            <w:r w:rsidDel="00000000" w:rsidR="00000000" w:rsidRPr="00000000">
              <w:rPr>
                <w:rtl w:val="0"/>
              </w:rPr>
            </w:r>
          </w:p>
        </w:tc>
        <w:tc>
          <w:tcPr>
            <w:tcBorders>
              <w:bottom w:color="000000" w:space="0" w:sz="16" w:val="single"/>
            </w:tcBorders>
          </w:tcPr>
          <w:p w:rsidR="00000000" w:rsidDel="00000000" w:rsidP="00000000" w:rsidRDefault="00000000" w:rsidRPr="00000000" w14:paraId="0000019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bottom w:color="000000" w:space="0" w:sz="16" w:val="single"/>
            </w:tcBorders>
          </w:tcPr>
          <w:p w:rsidR="00000000" w:rsidDel="00000000" w:rsidP="00000000" w:rsidRDefault="00000000" w:rsidRPr="00000000" w14:paraId="0000019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50</w:t>
            </w:r>
            <w:r w:rsidDel="00000000" w:rsidR="00000000" w:rsidRPr="00000000">
              <w:rPr>
                <w:rtl w:val="0"/>
              </w:rPr>
            </w:r>
          </w:p>
        </w:tc>
        <w:tc>
          <w:tcPr>
            <w:tcBorders>
              <w:bottom w:color="000000" w:space="0" w:sz="16" w:val="single"/>
            </w:tcBorders>
          </w:tcPr>
          <w:p w:rsidR="00000000" w:rsidDel="00000000" w:rsidP="00000000" w:rsidRDefault="00000000" w:rsidRPr="00000000" w14:paraId="0000019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75</w:t>
            </w:r>
            <w:r w:rsidDel="00000000" w:rsidR="00000000" w:rsidRPr="00000000">
              <w:rPr>
                <w:rtl w:val="0"/>
              </w:rPr>
            </w:r>
          </w:p>
        </w:tc>
      </w:tr>
      <w:tr>
        <w:trPr>
          <w:cantSplit w:val="1"/>
          <w:tblHeader w:val="0"/>
        </w:trPr>
        <w:tc>
          <w:tcPr>
            <w:gridSpan w:val="13"/>
            <w:tcBorders>
              <w:top w:color="d3d3d3" w:space="0" w:sz="16" w:val="single"/>
              <w:bottom w:color="d3d3d3" w:space="0" w:sz="16" w:val="single"/>
            </w:tcBorders>
            <w:tcMar>
              <w:top w:w="25.0" w:type="dxa"/>
            </w:tcMar>
          </w:tcPr>
          <w:p w:rsidR="00000000" w:rsidDel="00000000" w:rsidP="00000000" w:rsidRDefault="00000000" w:rsidRPr="00000000" w14:paraId="00000199">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claret</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1A6">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Immediate PD (Refractory)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12.31 (4.75)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0.04 (5.06)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-14.61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12.93 (4.05)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-0.32 (5.35)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-14.61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0.79 (0.26)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0.96 (0.05)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NaN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19.53 (6.96)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9.95 (1.51)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8.33 (0.00)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1B3">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SD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-2.93 (3.10)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0.30 (2.48)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2.79 (3.70)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-6.31 (1.80)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-3.57 (1.67)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-4.41 (1.18)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0.85 (0.05)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0.86 (0.03)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0.56 (0.23)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19.13 (3.13)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20.23 (2.75)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60.86 (33.63)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1C0">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SD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17.72 (3.61)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24.38 (7.57)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10.79 (0.69)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6.91 (2.10)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6.93 (1.12)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8.17 (0.64)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0.60 (0.12)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0.43 (0.26)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0.97 (0.01)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41.20 (15.87)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69.25 (36.54)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9.29 (0.67)</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1CD">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PR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11.20 (10.25)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0.64 (2.41)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23.48 (29.67)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-9.20 (3.28)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-8.30 (1.29)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-9.46 (1.83)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0.46 (0.07)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0.49 (0.05)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0.28 (0.34)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23.08 (1.64)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27.14 (2.08)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351.67 (338.73)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1DA">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PR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119.29 (62.15)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29.92 (3.38)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22.87 (1.64)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15.49 (2.55)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10.75 (1.16)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9.72 (1.05)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0.18 (0.24)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0.57 (0.07)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0.79 (0.02)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498.84 (433.99)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28.40 (5.03)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14.64 (1.06)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1E7">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CR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942.43 (488.58)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563.87 (246.37)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236.08 (72.75)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538.77 (815.04)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139.48 (203.57)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127.09 (152.74)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0.21 (0.23)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0.14 (0.17)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0.10 (0.11)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17.82 (4.01)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25.09 (5.05)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18.19 (4.17)</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1F4">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CR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1040.52 (355.06)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625.00 (84.40)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293.13 (42.18)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274.80 (225.39)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239.30 (75.22)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69.53 (28.19)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0.09 (0.11)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0.12 (0.08)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0.33 (0.12)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22.68 (6.79)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12.50 (1.55)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5.43 (0.78)</w:t>
            </w:r>
            <w:r w:rsidDel="00000000" w:rsidR="00000000" w:rsidRPr="00000000">
              <w:rPr>
                <w:rtl w:val="0"/>
              </w:rPr>
            </w:r>
          </w:p>
        </w:tc>
      </w:tr>
      <w:tr>
        <w:trPr>
          <w:cantSplit w:val="1"/>
          <w:tblHeader w:val="0"/>
        </w:trPr>
        <w:tc>
          <w:tcPr>
            <w:gridSpan w:val="13"/>
            <w:tcBorders>
              <w:top w:color="d3d3d3" w:space="0" w:sz="16" w:val="single"/>
              <w:bottom w:color="d3d3d3" w:space="0" w:sz="16" w:val="single"/>
            </w:tcBorders>
            <w:tcMar>
              <w:top w:w="25.0" w:type="dxa"/>
            </w:tcMar>
          </w:tcPr>
          <w:p w:rsidR="00000000" w:rsidDel="00000000" w:rsidP="00000000" w:rsidRDefault="00000000" w:rsidRPr="00000000" w14:paraId="00000201">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stein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0E">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Immediate PD (Refractory)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7.16 (4.87)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-9.58 (3.99)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-9.74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8.48 (4.33)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-7.10 (2.42)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-9.74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0.80 (0.24)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0.99 (0.01)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NaN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15.64 (3.96)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8.68 (1.59)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5.55 (0.00)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1B">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SD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12.18 (8.96)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13.49 (4.93)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16.22 (5.14)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-4.15 (2.56)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-0.26 (1.49)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2.69 (1.76)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0.47 (0.20)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0.68 (0.08)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0.45 (0.20)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85.10 (61.99)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38.20 (7.28)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99.88 (54.57)</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28">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SD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47.44 (17.02)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35.19 (5.50)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24.00 (1.60)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8.43 (3.43)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9.14 (2.00)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15.06 (1.22)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0.18 (0.14)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0.38 (0.13)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0.90 (0.02)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109.38 (45.38)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68.61 (20.29)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19.14 (1.60)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35">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PR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88.50 (20.29)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31.17 (4.15)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21.31 (2.95)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10.17 (4.75)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6.79 (1.93)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7.54 (1.90)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0.08 (0.04)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0.36 (0.05)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0.46 (0.11)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82.80 (16.70)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38.53 (3.24)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37.83 (9.44)</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42">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PR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297.89 (74.58)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110.36 (8.82)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67.13 (3.18)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52.08 (11.76)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39.13 (4.16)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37.79 (1.78)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0.06 (0.03)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0.19 (0.03)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0.49 (0.04)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215.40 (66.76)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71.72 (7.74)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35.56 (2.36)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4F">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CR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4245.34 (1771.54)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1136.77 (453.25)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437.89 (118.88)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2948.81 (2613.77)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440.15 (398.17)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306.02 (210.13)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0.20 (0.24)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0.18 (0.24)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0.09 (0.12)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76.92 (18.38)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31.57 (9.43)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16.50 (3.70)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5C">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CR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3654.81 (1092.24)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1759.02 (234.44)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767.55 (65.67)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1509.20 (678.87)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878.98 (133.15)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614.16 (44.27)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0.04 (0.04)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0.00 (0.01)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0.26 (0.14)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68.13 (21.48)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31.00 (4.16)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11.59 (1.50)</w:t>
            </w:r>
            <w:r w:rsidDel="00000000" w:rsidR="00000000" w:rsidRPr="00000000">
              <w:rPr>
                <w:rtl w:val="0"/>
              </w:rPr>
            </w:r>
          </w:p>
        </w:tc>
      </w:tr>
      <w:tr>
        <w:trPr>
          <w:cantSplit w:val="1"/>
          <w:tblHeader w:val="0"/>
        </w:trPr>
        <w:tc>
          <w:tcPr>
            <w:gridSpan w:val="13"/>
            <w:tcBorders>
              <w:top w:color="d3d3d3" w:space="0" w:sz="16" w:val="single"/>
              <w:bottom w:color="d3d3d3" w:space="0" w:sz="16" w:val="single"/>
            </w:tcBorders>
            <w:tcMar>
              <w:top w:w="25.0" w:type="dxa"/>
            </w:tcMar>
          </w:tcPr>
          <w:p w:rsidR="00000000" w:rsidDel="00000000" w:rsidP="00000000" w:rsidRDefault="00000000" w:rsidRPr="00000000" w14:paraId="00000269">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moore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76">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Immediate PD (Refractory)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0.36 (5.04)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-11.22 (3.14)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-16.03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1.77 (4.87)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-9.75 (3.39)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-16.03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0.71 (0.33)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0.99 (0.01)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NaN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16.36 (6.35)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14.27 (3.67)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9.13 (0.00)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83">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SD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-4.32 (3.79)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-5.05 (2.04)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-6.12 (1.89)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-8.46 (2.75)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-6.92 (1.05)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-7.47 (1.23)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0.73 (0.13)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0.91 (0.02)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0.88 (0.03)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31.43 (14.01)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15.44 (0.99)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16.44 (1.88)</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90">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SD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9.45 (3.36)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7.16 (1.15)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6.99 (0.59)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3.07 (2.44)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3.62 (0.93)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5.27 (0.57)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0.77 (0.08)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0.89 (0.02)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0.98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21.44 (4.70)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16.36 (1.94)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7.02 (0.61)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9D">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PR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43.80 (12.00)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8.14 (2.17)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-1.64 (1.49)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3.48 (3.23)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-0.31 (1.42)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-6.63 (1.20)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0.23 (0.07)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0.61 (0.04)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0.77 (0.03)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40.29 (6.20)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21.73 (1.12)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16.70 (1.02)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AA">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PR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139.96 (29.13)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49.68 (3.79)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31.51 (1.76)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34.81 (7.29)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25.36 (1.91)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16.91 (0.91)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0.24 (0.06)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0.64 (0.04)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0.82 (0.02)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64.83 (10.04)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23.87 (2.13)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14.28 (0.63)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B7">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CR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3066.38 (1046.58)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848.27 (283.96)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425.22 (108.73)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2412.81 (2155.40)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427.60 (427.28)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316.11 (235.69)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0.19 (0.24)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0.21 (0.26)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0.08 (0.09)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50.57 (7.16)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24.05 (4.48)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16.93 (3.53)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C4">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CR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2331.11 (555.27)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1238.06 (130.57)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628.55 (46.54)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1215.54 (447.88)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771.77 (97.21)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535.17 (42.56)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0.02 (0.03)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0.03 (0.03)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0.34 (0.15)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39.23 (8.37)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19.49 (1.95)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8.48 (0.87)</w:t>
            </w:r>
            <w:r w:rsidDel="00000000" w:rsidR="00000000" w:rsidRPr="00000000">
              <w:rPr>
                <w:rtl w:val="0"/>
              </w:rPr>
            </w:r>
          </w:p>
        </w:tc>
      </w:tr>
      <w:tr>
        <w:trPr>
          <w:cantSplit w:val="1"/>
          <w:tblHeader w:val="0"/>
        </w:trPr>
        <w:tc>
          <w:tcPr>
            <w:gridSpan w:val="13"/>
            <w:tcBorders>
              <w:top w:color="d3d3d3" w:space="0" w:sz="16" w:val="single"/>
              <w:bottom w:color="d3d3d3" w:space="0" w:sz="16" w:val="single"/>
            </w:tcBorders>
            <w:tcMar>
              <w:top w:w="25.0" w:type="dxa"/>
            </w:tcMar>
          </w:tcPr>
          <w:p w:rsidR="00000000" w:rsidDel="00000000" w:rsidP="00000000" w:rsidRDefault="00000000" w:rsidRPr="00000000" w14:paraId="000002D1">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wang</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DE">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Immediate PD (Refractory)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2.23 (5.05)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-2.36 (2.94)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-9.07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4.03 (5.39)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-3.94 (3.54)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-9.07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0.76 (0.28)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0.99 (0.01)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NaN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15.72 (5.20)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11.48 (2.68)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5.17 (0.00)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EB">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SD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16.39 (5.71)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10.89 (3.53)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7.89 (2.93)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4.51 (5.04)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2.55 (2.59)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2.47 (1.77)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0.64 (0.11)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0.79 (0.06)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0.65 (0.12)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32.01 (8.13)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22.55 (1.62)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38.94 (14.90)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2F8">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SD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29.44 (7.21)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28.11 (3.05)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24.83 (1.39)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9.63 (3.49)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11.66 (1.39)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17.79 (1.57)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0.48 (0.11)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0.66 (0.07)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0.92 (0.01)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37.20 (6.80)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32.65 (4.84)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14.53 (0.83)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05">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PR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60.31 (19.59)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20.38 (3.35)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12.98 (2.12)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6.09 (4.48)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2.99 (2.04)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4.23 (1.75)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0.16 (0.07)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0.41 (0.05)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0.63 (0.04)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35.62 (3.30)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29.07 (1.44)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22.50 (1.76)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12">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PR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170.88 (30.63)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82.53 (5.80)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57.66 (2.66)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44.18 (11.75)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36.01 (3.70)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34.74 (1.66)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0.11 (0.05)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0.30 (0.04)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0.59 (0.03)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67.24 (10.04)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39.84 (3.81)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25.43 (1.21)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1F">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CR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2774.26 (1218.66)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982.27 (396.70)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434.79 (110.86)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1805.52 (1846.07)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336.34 (299.88)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334.05 (213.16)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0.20 (0.23)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0.15 (0.19)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0.10 (0.10)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44.39 (12.28)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29.14 (6.58)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16.95 (3.77)</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2C">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CR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3039.37 (725.59)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1621.24 (157.92)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675.32 (58.71)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1926.32 (713.83)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1025.04 (153.72)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517.62 (34.40)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0.04 (0.05)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0.01 (0.01)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0.33 (0.14)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51.38 (11.34)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25.07 (2.01)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10.17 (1.29)</w:t>
            </w:r>
            <w:r w:rsidDel="00000000" w:rsidR="00000000" w:rsidRPr="00000000">
              <w:rPr>
                <w:rtl w:val="0"/>
              </w:rPr>
            </w:r>
          </w:p>
        </w:tc>
      </w:tr>
      <w:tr>
        <w:trPr>
          <w:cantSplit w:val="1"/>
          <w:tblHeader w:val="0"/>
        </w:trPr>
        <w:tc>
          <w:tcPr>
            <w:gridSpan w:val="13"/>
            <w:tcBorders>
              <w:top w:color="d3d3d3" w:space="0" w:sz="16" w:val="single"/>
              <w:bottom w:color="d3d3d3" w:space="0" w:sz="16" w:val="single"/>
            </w:tcBorders>
            <w:tcMar>
              <w:top w:w="25.0" w:type="dxa"/>
            </w:tcMar>
          </w:tcPr>
          <w:p w:rsidR="00000000" w:rsidDel="00000000" w:rsidP="00000000" w:rsidRDefault="00000000" w:rsidRPr="00000000" w14:paraId="00000339">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bonate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46">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Immediate PD (Refractory)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5.95 (4.86)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-2.12 (2.96)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-9.07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7.79 (5.26)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-3.74 (3.53)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-9.07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0.84 (0.20)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0.98 (0.02)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NaN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14.05 (3.31)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11.22 (2.69)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5.17 (0.00)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53">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SD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42.54 (12.98)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11.69 (3.92)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7.92 (2.93)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13.25 (7.04)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3.17 (2.66)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2.41 (1.86)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0.35 (0.14)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0.78 (0.06)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0.66 (0.12)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78.22 (47.39)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23.10 (1.74)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38.34 (15.18)</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60">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SD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54.23 (14.38)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29.52 (3.18)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24.90 (1.34)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13.87 (4.99)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11.97 (1.41)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17.76 (1.53)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0.21 (0.11)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0.65 (0.07)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0.92 (0.01)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70.50 (15.86)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33.48 (4.87)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14.53 (0.85)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6D">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PR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132.51 (36.02)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22.00 (3.59)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12.98 (2.05)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18.87 (5.74)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3.19 (1.98)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4.21 (1.61)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0.04 (0.03)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0.40 (0.05)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0.63 (0.04)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77.59 (9.71)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29.57 (1.50)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22.56 (1.62)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7A">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PR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373.55 (77.53)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86.62 (5.58)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57.53 (2.78)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61.79 (12.66)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37.10 (3.54)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34.71 (1.61)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0.01 (0.01)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0.29 (0.03)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0.59 (0.03)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201.56 (63.64)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40.89 (3.74)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25.36 (1.16)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87">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CR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4705.05 (2529.66)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1049.11 (396.81)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440.21 (113.13)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2500.99 (3037.33)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383.93 (326.09)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333.69 (220.33)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0.22 (0.23)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0.13 (0.17)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0.10 (0.12)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86.27 (31.88)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29.87 (6.66)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17.21 (3.74)</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94">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CR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5575.66 (1415.47)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1721.57 (170.57)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675.02 (60.55)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2868.95 (1348.46)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1138.28 (155.39)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517.80 (33.38)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0.07 (0.05)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0.00 (0.01)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0.34 (0.15)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103.65 (24.26)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26.31 (2.09)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10.21 (1.32)</w:t>
            </w:r>
            <w:r w:rsidDel="00000000" w:rsidR="00000000" w:rsidRPr="00000000">
              <w:rPr>
                <w:rtl w:val="0"/>
              </w:rPr>
            </w:r>
          </w:p>
        </w:tc>
      </w:tr>
      <w:tr>
        <w:trPr>
          <w:cantSplit w:val="1"/>
          <w:tblHeader w:val="0"/>
        </w:trPr>
        <w:tc>
          <w:tcPr>
            <w:gridSpan w:val="13"/>
            <w:tcBorders>
              <w:top w:color="d3d3d3" w:space="0" w:sz="16" w:val="single"/>
              <w:bottom w:color="d3d3d3" w:space="0" w:sz="16" w:val="single"/>
            </w:tcBorders>
            <w:tcMar>
              <w:top w:w="25.0" w:type="dxa"/>
            </w:tcMar>
          </w:tcPr>
          <w:p w:rsidR="00000000" w:rsidDel="00000000" w:rsidP="00000000" w:rsidRDefault="00000000" w:rsidRPr="00000000" w14:paraId="000003A1">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tdnode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AE">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Immediate PD (Refractory)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-9.90 (3.94)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-16.37 (2.73)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-18.12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-10.17 (4.71)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-14.98 (4.35)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-18.12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0.91 (0.06)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0.99 (0.01)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NaN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21.85 (8.31)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21.70 (7.07)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10.33 (0.00)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BB">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SD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-12.98 (1.82)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-10.00 (1.93)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-10.79 (1.07)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-12.92 (2.51)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-11.99 (1.34)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-10.88 (1.19)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0.91 (0.03)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0.91 (0.03)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0.90 (0.02)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19.20 (3.00)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17.08 (1.14)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15.90 (1.56)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C8">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SD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-0.47 (1.11)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-0.62 (0.67)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1.23 (0.47)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-1.39 (1.56)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-0.56 (0.68)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1.67 (0.50)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0.95 (0.01)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0.96 (0.01)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0.98 (0.00)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8.22 (0.87)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8.87 (0.57)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5.14 (0.39)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D5">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PR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0.28 (6.54)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-4.26 (1.61)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-8.09 (1.31)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-14.11 (2.54)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-7.80 (1.31)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-9.63 (1.11)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0.59 (0.07)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0.69 (0.03)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0.84 (0.02)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20.68 (1.49)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19.74 (1.00)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15.21 (0.96)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E2">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PR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29.98 (7.20)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17.86 (2.41)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16.53 (1.26)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5.94 (3.39)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6.49 (0.93)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6.12 (0.52)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0.81 (0.03)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0.88 (0.01)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0.91 (0.01)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C">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14.43 (1.29)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11.22 (0.52)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8.48 (0.35)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EF">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CR then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1037.05 (455.29)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396.15 (242.17)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252.21 (93.18)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770.06 (737.72)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1.14 (67.39)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75.46 (103.29)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0.17 (0.22)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0.32 (0.26)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0.07 (0.08)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9">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17.86 (4.86)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A">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22.34 (4.09)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B">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18.26 (4.07)</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FC">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CR Maintained (No Progress)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D">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983.77 (231.46)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E">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616.86 (88.43)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F">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273.92 (36.62)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0">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558.78 (220.88)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1">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240.50 (111.73)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2">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139.19 (10.13)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3">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0.21 (0.13)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4">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0.15 (0.09)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5">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0.44 (0.14)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6">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16.82 (2.30)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7">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12.18 (1.50)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8">
            <w:pPr>
              <w:keepNext w:val="1"/>
              <w:spacing w:after="60" w:line="240" w:lineRule="auto"/>
              <w:jc w:val="center"/>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4.84 (0.78)</w:t>
            </w:r>
            <w:r w:rsidDel="00000000" w:rsidR="00000000" w:rsidRPr="00000000">
              <w:rPr>
                <w:rtl w:val="0"/>
              </w:rPr>
            </w:r>
          </w:p>
        </w:tc>
      </w:tr>
      <w:tr>
        <w:trPr>
          <w:cantSplit w:val="1"/>
          <w:tblHeader w:val="0"/>
        </w:trPr>
        <w:tc>
          <w:tcPr>
            <w:gridSpan w:val="13"/>
          </w:tcPr>
          <w:p w:rsidR="00000000" w:rsidDel="00000000" w:rsidP="00000000" w:rsidRDefault="00000000" w:rsidRPr="00000000" w14:paraId="00000409">
            <w:pPr>
              <w:keepNext w:val="1"/>
              <w:spacing w:after="60" w:line="240" w:lineRule="auto"/>
              <w:rPr>
                <w:rFonts w:ascii="Cambria" w:cs="Cambria" w:eastAsia="Cambria" w:hAnsi="Cambria"/>
                <w:sz w:val="24"/>
                <w:szCs w:val="24"/>
              </w:rPr>
            </w:pPr>
            <w:r w:rsidDel="00000000" w:rsidR="00000000" w:rsidRPr="00000000">
              <w:rPr>
                <w:rFonts w:ascii="Calibri" w:cs="Calibri" w:eastAsia="Calibri" w:hAnsi="Calibri"/>
                <w:sz w:val="20"/>
                <w:szCs w:val="20"/>
                <w:rtl w:val="0"/>
              </w:rPr>
              <w:t xml:space="preserve">Summary statistics calculated as Mean (Standard Deviation).</w:t>
            </w:r>
            <w:r w:rsidDel="00000000" w:rsidR="00000000" w:rsidRPr="00000000">
              <w:rPr>
                <w:rtl w:val="0"/>
              </w:rPr>
            </w:r>
          </w:p>
        </w:tc>
      </w:tr>
    </w:tbl>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b w:val="1"/>
          <w:bCs w:val="1"/>
          <w:rtl w:val="0"/>
        </w:rPr>
        <w:t xml:space="preserve">Table S5</w:t>
      </w:r>
      <w:r w:rsidDel="00000000" w:rsidR="00000000" w:rsidRPr="00000000">
        <w:rPr>
          <w:rtl w:val="0"/>
        </w:rPr>
        <w:t xml:space="preserve"> </w:t>
      </w:r>
      <w:r w:rsidDel="00000000" w:rsidR="00000000" w:rsidRPr="00000000">
        <w:rPr>
          <w:b w:val="1"/>
          <w:bCs w:val="1"/>
          <w:rtl w:val="0"/>
        </w:rPr>
        <w:t xml:space="preserve"> Quantification of error for TGI and TDNODE models on unseen data assessed at various values of follow-up times by best overall response. </w:t>
      </w:r>
      <w:r w:rsidDel="00000000" w:rsidR="00000000" w:rsidRPr="00000000">
        <w:rPr>
          <w:rtl w:val="0"/>
        </w:rPr>
        <w:t xml:space="preserve">For each value of follow-up time (25%, 50% and 75% of total trial duration), all models were fitted or trained with the corresponding “seen” data, and subsequently evaluated on the remaining unseen data. The predictive performance was evaluated using several evaluation metrics based on the unseen data. To derive the predictive performance statistics, 500 bootstraps were performed from which the respective metric was computed.  Patients with progressive disease (PD) were excluded due to very limited unseen scans.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6.3005780346821"/>
        <w:gridCol w:w="689.8265895953757"/>
        <w:gridCol w:w="703.3526011560695"/>
        <w:gridCol w:w="595.1445086705202"/>
        <w:gridCol w:w="838.6127167630058"/>
        <w:gridCol w:w="689.8265895953757"/>
        <w:gridCol w:w="703.3526011560695"/>
        <w:gridCol w:w="595.1445086705202"/>
        <w:gridCol w:w="838.6127167630058"/>
        <w:gridCol w:w="798.0346820809248"/>
        <w:gridCol w:w="798.0346820809248"/>
        <w:gridCol w:w="595.1445086705202"/>
        <w:gridCol w:w="838.6127167630058"/>
        <w:tblGridChange w:id="0">
          <w:tblGrid>
            <w:gridCol w:w="676.3005780346821"/>
            <w:gridCol w:w="689.8265895953757"/>
            <w:gridCol w:w="703.3526011560695"/>
            <w:gridCol w:w="595.1445086705202"/>
            <w:gridCol w:w="838.6127167630058"/>
            <w:gridCol w:w="689.8265895953757"/>
            <w:gridCol w:w="703.3526011560695"/>
            <w:gridCol w:w="595.1445086705202"/>
            <w:gridCol w:w="838.6127167630058"/>
            <w:gridCol w:w="798.0346820809248"/>
            <w:gridCol w:w="798.0346820809248"/>
            <w:gridCol w:w="595.1445086705202"/>
            <w:gridCol w:w="838.6127167630058"/>
          </w:tblGrid>
        </w:tblGridChange>
      </w:tblGrid>
      <w:tr>
        <w:trPr>
          <w:cantSplit w:val="0"/>
          <w:trHeight w:val="360" w:hRule="atLeast"/>
          <w:tblHeader w:val="0"/>
        </w:trPr>
        <w:tc>
          <w:tcPr>
            <w:tcBorders>
              <w:top w:color="d3d3d3" w:space="0" w:sz="13" w:val="single"/>
              <w:left w:color="d3d3d3" w:space="0" w:sz="7" w:val="single"/>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41B">
            <w:pPr>
              <w:spacing w:after="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gridSpan w:val="4"/>
            <w:tcBorders>
              <w:top w:color="d3d3d3" w:space="0" w:sz="13" w:val="single"/>
              <w:left w:color="000000" w:space="0" w:sz="0" w:val="nil"/>
              <w:bottom w:color="d3d3d3" w:space="0" w:sz="13"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41C">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SD</w:t>
            </w:r>
          </w:p>
        </w:tc>
        <w:tc>
          <w:tcPr>
            <w:gridSpan w:val="4"/>
            <w:tcBorders>
              <w:top w:color="d3d3d3" w:space="0" w:sz="13" w:val="single"/>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420">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w:t>
            </w:r>
          </w:p>
        </w:tc>
        <w:tc>
          <w:tcPr>
            <w:gridSpan w:val="4"/>
            <w:tcBorders>
              <w:top w:color="d3d3d3" w:space="0" w:sz="13" w:val="single"/>
              <w:left w:color="000000" w:space="0" w:sz="0" w:val="nil"/>
              <w:bottom w:color="d3d3d3" w:space="0" w:sz="13"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24">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w:t>
            </w:r>
          </w:p>
        </w:tc>
      </w:tr>
      <w:tr>
        <w:trPr>
          <w:cantSplit w:val="0"/>
          <w:trHeight w:val="855" w:hRule="atLeast"/>
          <w:tblHeader w:val="0"/>
        </w:trPr>
        <w:tc>
          <w:tcPr>
            <w:tcBorders>
              <w:top w:color="000000" w:space="0" w:sz="0" w:val="nil"/>
              <w:left w:color="d3d3d3" w:space="0" w:sz="7" w:val="single"/>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428">
            <w:pPr>
              <w:spacing w:after="6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429">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Mean RPE (%)</w:t>
            </w:r>
            <w:r w:rsidDel="00000000" w:rsidR="00000000" w:rsidRPr="00000000">
              <w:rPr>
                <w:rFonts w:ascii="Calibri" w:cs="Calibri" w:eastAsia="Calibri" w:hAnsi="Calibri"/>
                <w:i w:val="1"/>
                <w:iCs w:val="1"/>
                <w:sz w:val="20"/>
                <w:szCs w:val="20"/>
                <w:vertAlign w:val="superscript"/>
                <w:rtl w:val="0"/>
              </w:rPr>
              <w:t xml:space="preserve">1,2</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42A">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Median RPE (%)</w:t>
            </w:r>
            <w:r w:rsidDel="00000000" w:rsidR="00000000" w:rsidRPr="00000000">
              <w:rPr>
                <w:rFonts w:ascii="Calibri" w:cs="Calibri" w:eastAsia="Calibri" w:hAnsi="Calibri"/>
                <w:i w:val="1"/>
                <w:iCs w:val="1"/>
                <w:sz w:val="20"/>
                <w:szCs w:val="20"/>
                <w:vertAlign w:val="superscript"/>
                <w:rtl w:val="0"/>
              </w:rPr>
              <w:t xml:space="preserve">1,2</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42B">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R2</w:t>
            </w:r>
            <w:r w:rsidDel="00000000" w:rsidR="00000000" w:rsidRPr="00000000">
              <w:rPr>
                <w:rFonts w:ascii="Calibri" w:cs="Calibri" w:eastAsia="Calibri" w:hAnsi="Calibri"/>
                <w:i w:val="1"/>
                <w:iCs w:val="1"/>
                <w:sz w:val="20"/>
                <w:szCs w:val="20"/>
                <w:vertAlign w:val="superscript"/>
                <w:rtl w:val="0"/>
              </w:rPr>
              <w:t xml:space="preserve">1,3</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42C">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RMSE</w:t>
            </w:r>
            <w:r w:rsidDel="00000000" w:rsidR="00000000" w:rsidRPr="00000000">
              <w:rPr>
                <w:rFonts w:ascii="Calibri" w:cs="Calibri" w:eastAsia="Calibri" w:hAnsi="Calibri"/>
                <w:i w:val="1"/>
                <w:iCs w:val="1"/>
                <w:sz w:val="20"/>
                <w:szCs w:val="20"/>
                <w:vertAlign w:val="superscript"/>
                <w:rtl w:val="0"/>
              </w:rPr>
              <w:t xml:space="preserve">1,4</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42D">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Mean RPE (%)</w:t>
            </w:r>
            <w:r w:rsidDel="00000000" w:rsidR="00000000" w:rsidRPr="00000000">
              <w:rPr>
                <w:rFonts w:ascii="Calibri" w:cs="Calibri" w:eastAsia="Calibri" w:hAnsi="Calibri"/>
                <w:i w:val="1"/>
                <w:iCs w:val="1"/>
                <w:sz w:val="20"/>
                <w:szCs w:val="20"/>
                <w:vertAlign w:val="superscript"/>
                <w:rtl w:val="0"/>
              </w:rPr>
              <w:t xml:space="preserve">1,2</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42E">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Median RPE (%)</w:t>
            </w:r>
            <w:r w:rsidDel="00000000" w:rsidR="00000000" w:rsidRPr="00000000">
              <w:rPr>
                <w:rFonts w:ascii="Calibri" w:cs="Calibri" w:eastAsia="Calibri" w:hAnsi="Calibri"/>
                <w:i w:val="1"/>
                <w:iCs w:val="1"/>
                <w:sz w:val="20"/>
                <w:szCs w:val="20"/>
                <w:vertAlign w:val="superscript"/>
                <w:rtl w:val="0"/>
              </w:rPr>
              <w:t xml:space="preserve">1,2</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42F">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R2</w:t>
            </w:r>
            <w:r w:rsidDel="00000000" w:rsidR="00000000" w:rsidRPr="00000000">
              <w:rPr>
                <w:rFonts w:ascii="Calibri" w:cs="Calibri" w:eastAsia="Calibri" w:hAnsi="Calibri"/>
                <w:i w:val="1"/>
                <w:iCs w:val="1"/>
                <w:sz w:val="20"/>
                <w:szCs w:val="20"/>
                <w:vertAlign w:val="superscript"/>
                <w:rtl w:val="0"/>
              </w:rPr>
              <w:t xml:space="preserve">1,3</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430">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RMSE</w:t>
            </w:r>
            <w:r w:rsidDel="00000000" w:rsidR="00000000" w:rsidRPr="00000000">
              <w:rPr>
                <w:rFonts w:ascii="Calibri" w:cs="Calibri" w:eastAsia="Calibri" w:hAnsi="Calibri"/>
                <w:i w:val="1"/>
                <w:iCs w:val="1"/>
                <w:sz w:val="20"/>
                <w:szCs w:val="20"/>
                <w:vertAlign w:val="superscript"/>
                <w:rtl w:val="0"/>
              </w:rPr>
              <w:t xml:space="preserve">1,4</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431">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Mean RPE (%)</w:t>
            </w:r>
            <w:r w:rsidDel="00000000" w:rsidR="00000000" w:rsidRPr="00000000">
              <w:rPr>
                <w:rFonts w:ascii="Calibri" w:cs="Calibri" w:eastAsia="Calibri" w:hAnsi="Calibri"/>
                <w:i w:val="1"/>
                <w:iCs w:val="1"/>
                <w:sz w:val="20"/>
                <w:szCs w:val="20"/>
                <w:vertAlign w:val="superscript"/>
                <w:rtl w:val="0"/>
              </w:rPr>
              <w:t xml:space="preserve">1,2</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432">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Median RPE (%)</w:t>
            </w:r>
            <w:r w:rsidDel="00000000" w:rsidR="00000000" w:rsidRPr="00000000">
              <w:rPr>
                <w:rFonts w:ascii="Calibri" w:cs="Calibri" w:eastAsia="Calibri" w:hAnsi="Calibri"/>
                <w:i w:val="1"/>
                <w:iCs w:val="1"/>
                <w:sz w:val="20"/>
                <w:szCs w:val="20"/>
                <w:vertAlign w:val="superscript"/>
                <w:rtl w:val="0"/>
              </w:rPr>
              <w:t xml:space="preserve">1,2</w:t>
            </w:r>
          </w:p>
        </w:tc>
        <w:tc>
          <w:tcPr>
            <w:tcBorders>
              <w:top w:color="000000" w:space="0" w:sz="0" w:val="nil"/>
              <w:left w:color="000000" w:space="0" w:sz="0" w:val="nil"/>
              <w:bottom w:color="d3d3d3" w:space="0" w:sz="13" w:val="single"/>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433">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R2</w:t>
            </w:r>
            <w:r w:rsidDel="00000000" w:rsidR="00000000" w:rsidRPr="00000000">
              <w:rPr>
                <w:rFonts w:ascii="Calibri" w:cs="Calibri" w:eastAsia="Calibri" w:hAnsi="Calibri"/>
                <w:i w:val="1"/>
                <w:iCs w:val="1"/>
                <w:sz w:val="20"/>
                <w:szCs w:val="20"/>
                <w:vertAlign w:val="superscript"/>
                <w:rtl w:val="0"/>
              </w:rPr>
              <w:t xml:space="preserve">1,3</w:t>
            </w:r>
          </w:p>
        </w:tc>
        <w:tc>
          <w:tcPr>
            <w:tcBorders>
              <w:top w:color="000000" w:space="0" w:sz="0" w:val="nil"/>
              <w:left w:color="000000" w:space="0" w:sz="0" w:val="nil"/>
              <w:bottom w:color="d3d3d3" w:space="0" w:sz="13"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34">
            <w:pPr>
              <w:spacing w:after="60" w:lineRule="auto"/>
              <w:jc w:val="right"/>
              <w:rPr>
                <w:rFonts w:ascii="Calibri" w:cs="Calibri" w:eastAsia="Calibri" w:hAnsi="Calibri"/>
                <w:i w:val="1"/>
                <w:iCs w:val="1"/>
                <w:sz w:val="20"/>
                <w:szCs w:val="20"/>
                <w:vertAlign w:val="superscript"/>
              </w:rPr>
            </w:pPr>
            <w:r w:rsidDel="00000000" w:rsidR="00000000" w:rsidRPr="00000000">
              <w:rPr>
                <w:rFonts w:ascii="Calibri" w:cs="Calibri" w:eastAsia="Calibri" w:hAnsi="Calibri"/>
                <w:sz w:val="20"/>
                <w:szCs w:val="20"/>
                <w:rtl w:val="0"/>
              </w:rPr>
              <w:t xml:space="preserve">RMSE</w:t>
            </w:r>
            <w:r w:rsidDel="00000000" w:rsidR="00000000" w:rsidRPr="00000000">
              <w:rPr>
                <w:rFonts w:ascii="Calibri" w:cs="Calibri" w:eastAsia="Calibri" w:hAnsi="Calibri"/>
                <w:i w:val="1"/>
                <w:iCs w:val="1"/>
                <w:sz w:val="20"/>
                <w:szCs w:val="20"/>
                <w:vertAlign w:val="superscript"/>
                <w:rtl w:val="0"/>
              </w:rPr>
              <w:t xml:space="preserve">1,4</w:t>
            </w:r>
          </w:p>
        </w:tc>
      </w:tr>
      <w:tr>
        <w:trPr>
          <w:cantSplit w:val="0"/>
          <w:trHeight w:val="345" w:hRule="atLeast"/>
          <w:tblHeader w:val="0"/>
        </w:trPr>
        <w:tc>
          <w:tcPr>
            <w:gridSpan w:val="13"/>
            <w:tcBorders>
              <w:top w:color="000000" w:space="0" w:sz="0" w:val="nil"/>
              <w:left w:color="d3d3d3" w:space="0" w:sz="7" w:val="single"/>
              <w:bottom w:color="d3d3d3" w:space="0" w:sz="13" w:val="single"/>
              <w:right w:color="d3d3d3" w:space="0" w:sz="7" w:val="single"/>
            </w:tcBorders>
            <w:shd w:fill="auto" w:val="clear"/>
            <w:tcMar>
              <w:top w:w="20.0" w:type="dxa"/>
              <w:left w:w="60.0" w:type="dxa"/>
              <w:bottom w:w="0.0" w:type="dxa"/>
              <w:right w:w="60.0" w:type="dxa"/>
            </w:tcMar>
            <w:vAlign w:val="top"/>
          </w:tcPr>
          <w:p w:rsidR="00000000" w:rsidDel="00000000" w:rsidP="00000000" w:rsidRDefault="00000000" w:rsidRPr="00000000" w14:paraId="00000435">
            <w:pPr>
              <w:spacing w:after="6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25% Enrollment</w:t>
            </w:r>
          </w:p>
        </w:tc>
      </w:tr>
      <w:tr>
        <w:trPr>
          <w:cantSplit w:val="0"/>
          <w:trHeight w:val="555"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42">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claret</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4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14.11 (2.08)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4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2.64 (1.38)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4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0.60 (0.06)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4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47.94 (9.18)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4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122.29 (26.05)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4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14.58 (1.66)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4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0.02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4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562.58 (201.02)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4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1146.03 (159.57)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4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160.91 (103.37)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4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0.05 (0.03)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4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24.72 (2.56)</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4F">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stein</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5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80.81 (11.44)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5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15.65 (2.99)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5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0.21 (0.05)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5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185.65 (27.86)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5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390.52 (33.68)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5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92.55 (7.41)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5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0.05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5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244.20 (27.78)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5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4129.58 (508.85)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5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1653.69 (319.66)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5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0.01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5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76.42 (9.13)</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5C">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moore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5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13.40 (2.19)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5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1.45 (2.04)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5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0.64 (0.03)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6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44.50 (5.78)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6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178.19 (13.06)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6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55.91 (4.91)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6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0.17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6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75.54 (3.97)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6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2676.93 (251.60)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6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1388.82 (229.28)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6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0.01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6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44.10 (3.18)</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69">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wang</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6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50.69 (4.16)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6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24.05 (3.27)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6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0.48 (0.05)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6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51.63 (4.06)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6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215.42 (13.56)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6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72.82 (5.22)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7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0.08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7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74.38 (3.63)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7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3350.57 (336.48)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7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2086.15 (298.29)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7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0.01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7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55.57 (4.72)</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76">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bonate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7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109.21 (10.23)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7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38.92 (4.76)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7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0.23 (0.04)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7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136.08 (18.88)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7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491.83 (35.27)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7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111.21 (8.99)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7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0.01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7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231.45 (23.75)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7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6227.95 (681.53)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8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3375.13 (740.01)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8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0.02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8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113.74 (10.82)</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83">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tdnode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8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-5.85 (0.76)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8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-5.25 (0.90)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8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0.92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8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11.87 (1.20)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8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26.74 (3.33)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8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1.16 (1.08)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8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0.72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8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15.29 (0.50)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8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974.40 (94.36)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8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581.83 (71.98)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8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0.19 (0.06)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8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17.13 (0.90)</w:t>
            </w:r>
          </w:p>
        </w:tc>
      </w:tr>
      <w:tr>
        <w:trPr>
          <w:cantSplit w:val="0"/>
          <w:trHeight w:val="345" w:hRule="atLeast"/>
          <w:tblHeader w:val="0"/>
        </w:trPr>
        <w:tc>
          <w:tcPr>
            <w:gridSpan w:val="13"/>
            <w:tcBorders>
              <w:top w:color="000000" w:space="0" w:sz="0" w:val="nil"/>
              <w:left w:color="d3d3d3" w:space="0" w:sz="7" w:val="single"/>
              <w:bottom w:color="d3d3d3" w:space="0" w:sz="13" w:val="single"/>
              <w:right w:color="d3d3d3" w:space="0" w:sz="7" w:val="single"/>
            </w:tcBorders>
            <w:shd w:fill="auto" w:val="clear"/>
            <w:tcMar>
              <w:top w:w="20.0" w:type="dxa"/>
              <w:left w:w="60.0" w:type="dxa"/>
              <w:bottom w:w="0.0" w:type="dxa"/>
              <w:right w:w="60.0" w:type="dxa"/>
            </w:tcMar>
            <w:vAlign w:val="top"/>
          </w:tcPr>
          <w:p w:rsidR="00000000" w:rsidDel="00000000" w:rsidP="00000000" w:rsidRDefault="00000000" w:rsidRPr="00000000" w14:paraId="00000490">
            <w:pPr>
              <w:spacing w:after="6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50% Enrollment</w:t>
            </w:r>
          </w:p>
        </w:tc>
      </w:tr>
      <w:tr>
        <w:trPr>
          <w:cantSplit w:val="0"/>
          <w:trHeight w:val="555"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9D">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claret</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9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24.66 (4.57)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9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8.26 (0.52)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A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0.31 (0.16)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A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74.89 (23.78)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A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30.33 (1.64)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A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9.79 (0.70)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A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0.51 (0.03)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A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27.29 (1.74)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A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635.44 (48.14)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A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193.34 (31.72)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A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0.06 (0.03)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A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13.57 (0.86)</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AA">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stein</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A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52.99 (3.63)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A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19.04 (1.46)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A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0.32 (0.06)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A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81.36 (11.46)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A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124.33 (4.12)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B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52.43 (1.87)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B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0.19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B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71.58 (3.10)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B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1778.47 (126.14)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B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915.70 (59.73)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B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0.00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B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32.18 (2.26)</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B7">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moore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B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7.34 (0.64)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B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4.55 (0.44)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B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0.87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B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16.51 (1.03)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B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49.43 (1.52)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B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25.18 (1.00)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B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0.60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B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23.17 (0.57)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C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1197.78 (70.48)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C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743.42 (42.48)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C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0.02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C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19.74 (1.05)</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C4">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wang</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C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40.79 (1.79)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C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22.46 (1.04)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C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0.60 (0.04)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C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37.08 (2.56)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C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90.02 (2.73)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C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44.19 (1.67)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C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0.29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C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40.59 (1.11)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C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1593.89 (86.79)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C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964.76 (80.12)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C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0.01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D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25.83 (1.11)</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D1">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bonate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D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43.08 (1.89)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D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23.33 (1.27)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D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0.59 (0.04)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D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38.12 (2.59)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D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96.37 (2.74)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D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46.61 (1.90)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D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0.27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D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41.89 (1.12)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D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1721.37 (88.04)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D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1158.28 (83.53)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D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0.00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D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27.17 (1.13)</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DE">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tdnode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D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-4.85 (0.47)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E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-3.44 (0.50)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E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0.93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E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11.49 (0.57)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E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14.33 (1.10)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E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3.78 (0.40)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E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0.77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E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13.57 (0.34)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E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558.34 (48.52)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E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113.64 (25.58)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E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0.09 (0.04)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E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12.95 (0.83)</w:t>
            </w:r>
          </w:p>
        </w:tc>
      </w:tr>
      <w:tr>
        <w:trPr>
          <w:cantSplit w:val="0"/>
          <w:trHeight w:val="345" w:hRule="atLeast"/>
          <w:tblHeader w:val="0"/>
        </w:trPr>
        <w:tc>
          <w:tcPr>
            <w:gridSpan w:val="13"/>
            <w:tcBorders>
              <w:top w:color="000000" w:space="0" w:sz="0" w:val="nil"/>
              <w:left w:color="d3d3d3" w:space="0" w:sz="7" w:val="single"/>
              <w:bottom w:color="d3d3d3" w:space="0" w:sz="13" w:val="single"/>
              <w:right w:color="d3d3d3" w:space="0" w:sz="7" w:val="single"/>
            </w:tcBorders>
            <w:shd w:fill="auto" w:val="clear"/>
            <w:tcMar>
              <w:top w:w="20.0" w:type="dxa"/>
              <w:left w:w="60.0" w:type="dxa"/>
              <w:bottom w:w="0.0" w:type="dxa"/>
              <w:right w:w="60.0" w:type="dxa"/>
            </w:tcMar>
            <w:vAlign w:val="top"/>
          </w:tcPr>
          <w:p w:rsidR="00000000" w:rsidDel="00000000" w:rsidP="00000000" w:rsidRDefault="00000000" w:rsidRPr="00000000" w14:paraId="000004EB">
            <w:pPr>
              <w:spacing w:after="6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75% Enrollment</w:t>
            </w:r>
          </w:p>
        </w:tc>
      </w:tr>
      <w:tr>
        <w:trPr>
          <w:cantSplit w:val="0"/>
          <w:trHeight w:val="555"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F8">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claret</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F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9.29 (0.70)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F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7.59 (0.33)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F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0.75 (0.13)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F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23.67 (10.25)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F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33.18 (8.50)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F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8.17 (0.46)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4F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0.05 (0.12)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0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303.69 (149.66)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0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286.82 (26.29)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0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70.69 (18.54)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0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0.10 (0.06)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0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7.27 (0.83)</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05">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stein</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0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25.45 (1.23)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0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17.85 (1.25)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0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0.63 (0.16)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0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40.53 (15.75)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0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64.30 (1.91)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0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38.27 (1.02)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0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0.47 (0.04)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0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38.56 (3.22)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0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723.70 (43.30)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0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592.08 (20.98)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1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0.09 (0.06)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1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11.70 (1.01)</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12">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moore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1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2.99 (0.47)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1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3.22 (0.33)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1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0.93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1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9.53 (0.64)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1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26.28 (1.06)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1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13.98 (0.55)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1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0.77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1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14.47 (0.44)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1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593.28 (33.21)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1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522.87 (27.83)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1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0.12 (0.07)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1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9.17 (0.66)</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1F">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wang</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2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23.86 (0.91)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2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18.66 (0.93)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2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0.82 (0.05)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2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20.73 (3.76)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2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53.93 (1.60)</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2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33.97 (0.99)</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2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0.60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2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25.01 (0.75)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2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644.70 (39.28)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29">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501.12 (23.32)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2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0.11 (0.06)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2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10.77 (0.88)</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2C">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bonate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2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23.90 (0.97)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2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18.76 (0.97)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2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0.82 (0.05)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3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20.61 (3.73)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3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53.95 (1.61)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3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33.97 (0.96)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3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0.60 (0.02)</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3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25.01 (0.75)</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3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645.18 (41.18)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36">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503.52 (23.94)</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37">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0.11 (0.06)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38">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10.74 (0.87)</w:t>
            </w:r>
          </w:p>
        </w:tc>
      </w:tr>
      <w:tr>
        <w:trPr>
          <w:cantSplit w:val="0"/>
          <w:trHeight w:val="540" w:hRule="atLeast"/>
          <w:tblHeader w:val="0"/>
        </w:trPr>
        <w:tc>
          <w:tcPr>
            <w:tcBorders>
              <w:top w:color="000000" w:space="0" w:sz="0" w:val="nil"/>
              <w:left w:color="d3d3d3" w:space="0" w:sz="7" w:val="single"/>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39">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tdnode</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3A">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-2.85 (0.41)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3B">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-0.75 (0.28)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3C">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0.94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3D">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8.94 (0.68)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3E">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11.70 (0.77)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3F">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4.04 (0.26)</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40">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0.85 (0.01)</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41">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10.20 (0.37)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42">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259.36 (23.83)</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43">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131.65 (6.57)</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44">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0.13 (0.08)</w:t>
            </w:r>
          </w:p>
        </w:tc>
        <w:tc>
          <w:tcPr>
            <w:tcBorders>
              <w:top w:color="000000" w:space="0" w:sz="0" w:val="nil"/>
              <w:left w:color="000000" w:space="0" w:sz="0" w:val="nil"/>
              <w:bottom w:color="d3d3d3" w:space="0" w:sz="7" w:val="single"/>
              <w:right w:color="d3d3d3" w:space="0" w:sz="7" w:val="single"/>
            </w:tcBorders>
            <w:shd w:fill="auto" w:val="clear"/>
            <w:tcMar>
              <w:top w:w="0.0" w:type="dxa"/>
              <w:left w:w="60.0" w:type="dxa"/>
              <w:bottom w:w="0.0" w:type="dxa"/>
              <w:right w:w="60.0" w:type="dxa"/>
            </w:tcMar>
            <w:vAlign w:val="top"/>
          </w:tcPr>
          <w:p w:rsidR="00000000" w:rsidDel="00000000" w:rsidP="00000000" w:rsidRDefault="00000000" w:rsidRPr="00000000" w14:paraId="00000545">
            <w:pPr>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6.95 (0.85)</w:t>
            </w:r>
          </w:p>
        </w:tc>
      </w:tr>
      <w:tr>
        <w:trPr>
          <w:cantSplit w:val="0"/>
          <w:trHeight w:val="405" w:hRule="atLeast"/>
          <w:tblHeader w:val="0"/>
        </w:trPr>
        <w:tc>
          <w:tcPr>
            <w:gridSpan w:val="13"/>
            <w:tcBorders>
              <w:top w:color="000000" w:space="0" w:sz="0" w:val="nil"/>
              <w:left w:color="000000" w:space="0" w:sz="0" w:val="nil"/>
              <w:bottom w:color="000000" w:space="0" w:sz="0" w:val="nil"/>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546">
            <w:pPr>
              <w:spacing w:after="60" w:lineRule="auto"/>
              <w:rPr>
                <w:rFonts w:ascii="Calibri" w:cs="Calibri" w:eastAsia="Calibri" w:hAnsi="Calibri"/>
                <w:sz w:val="20"/>
                <w:szCs w:val="20"/>
              </w:rPr>
            </w:pPr>
            <w:r w:rsidDel="00000000" w:rsidR="00000000" w:rsidRPr="00000000">
              <w:rPr>
                <w:rFonts w:ascii="Calibri" w:cs="Calibri" w:eastAsia="Calibri" w:hAnsi="Calibri"/>
                <w:i w:val="1"/>
                <w:iCs w:val="1"/>
                <w:sz w:val="34"/>
                <w:szCs w:val="34"/>
                <w:vertAlign w:val="superscript"/>
                <w:rtl w:val="0"/>
              </w:rPr>
              <w:t xml:space="preserve">1</w:t>
            </w:r>
            <w:r w:rsidDel="00000000" w:rsidR="00000000" w:rsidRPr="00000000">
              <w:rPr>
                <w:rFonts w:ascii="Calibri" w:cs="Calibri" w:eastAsia="Calibri" w:hAnsi="Calibri"/>
                <w:sz w:val="20"/>
                <w:szCs w:val="20"/>
                <w:rtl w:val="0"/>
              </w:rPr>
              <w:t xml:space="preserve">Values represent the boostrapped mean (std) unless indicated otherwise; std = standard deviation</w:t>
            </w:r>
          </w:p>
        </w:tc>
      </w:tr>
      <w:tr>
        <w:trPr>
          <w:cantSplit w:val="0"/>
          <w:trHeight w:val="390" w:hRule="atLeast"/>
          <w:tblHeader w:val="0"/>
        </w:trPr>
        <w:tc>
          <w:tcPr>
            <w:gridSpan w:val="13"/>
            <w:tcBorders>
              <w:top w:color="000000" w:space="0" w:sz="0" w:val="nil"/>
              <w:left w:color="000000" w:space="0" w:sz="0" w:val="nil"/>
              <w:bottom w:color="000000" w:space="0" w:sz="0" w:val="nil"/>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553">
            <w:pPr>
              <w:spacing w:after="60" w:lineRule="auto"/>
              <w:rPr>
                <w:rFonts w:ascii="Calibri" w:cs="Calibri" w:eastAsia="Calibri" w:hAnsi="Calibri"/>
                <w:sz w:val="20"/>
                <w:szCs w:val="20"/>
              </w:rPr>
            </w:pPr>
            <w:r w:rsidDel="00000000" w:rsidR="00000000" w:rsidRPr="00000000">
              <w:rPr>
                <w:rFonts w:ascii="Calibri" w:cs="Calibri" w:eastAsia="Calibri" w:hAnsi="Calibri"/>
                <w:i w:val="1"/>
                <w:iCs w:val="1"/>
                <w:sz w:val="34"/>
                <w:szCs w:val="34"/>
                <w:vertAlign w:val="superscript"/>
                <w:rtl w:val="0"/>
              </w:rPr>
              <w:t xml:space="preserve">2</w:t>
            </w:r>
            <w:r w:rsidDel="00000000" w:rsidR="00000000" w:rsidRPr="00000000">
              <w:rPr>
                <w:rFonts w:ascii="Calibri" w:cs="Calibri" w:eastAsia="Calibri" w:hAnsi="Calibri"/>
                <w:sz w:val="20"/>
                <w:szCs w:val="20"/>
                <w:rtl w:val="0"/>
              </w:rPr>
              <w:t xml:space="preserve">Relative % Error (RPE) = 100 * (Observed SLD - Predicted SLD) / Observed SLD + epsilon</w:t>
            </w:r>
          </w:p>
        </w:tc>
      </w:tr>
      <w:tr>
        <w:trPr>
          <w:cantSplit w:val="0"/>
          <w:trHeight w:val="390" w:hRule="atLeast"/>
          <w:tblHeader w:val="0"/>
        </w:trPr>
        <w:tc>
          <w:tcPr>
            <w:gridSpan w:val="13"/>
            <w:tcBorders>
              <w:top w:color="000000" w:space="0" w:sz="0" w:val="nil"/>
              <w:left w:color="000000" w:space="0" w:sz="0" w:val="nil"/>
              <w:bottom w:color="000000" w:space="0" w:sz="0" w:val="nil"/>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560">
            <w:pPr>
              <w:spacing w:after="60" w:lineRule="auto"/>
              <w:rPr>
                <w:rFonts w:ascii="Calibri" w:cs="Calibri" w:eastAsia="Calibri" w:hAnsi="Calibri"/>
                <w:sz w:val="20"/>
                <w:szCs w:val="20"/>
              </w:rPr>
            </w:pPr>
            <w:r w:rsidDel="00000000" w:rsidR="00000000" w:rsidRPr="00000000">
              <w:rPr>
                <w:rFonts w:ascii="Calibri" w:cs="Calibri" w:eastAsia="Calibri" w:hAnsi="Calibri"/>
                <w:i w:val="1"/>
                <w:iCs w:val="1"/>
                <w:sz w:val="34"/>
                <w:szCs w:val="34"/>
                <w:vertAlign w:val="superscript"/>
                <w:rtl w:val="0"/>
              </w:rPr>
              <w:t xml:space="preserve">3</w:t>
            </w:r>
            <w:r w:rsidDel="00000000" w:rsidR="00000000" w:rsidRPr="00000000">
              <w:rPr>
                <w:rFonts w:ascii="Calibri" w:cs="Calibri" w:eastAsia="Calibri" w:hAnsi="Calibri"/>
                <w:sz w:val="20"/>
                <w:szCs w:val="20"/>
                <w:rtl w:val="0"/>
              </w:rPr>
              <w:t xml:space="preserve">R2 = R-squared</w:t>
            </w:r>
          </w:p>
        </w:tc>
      </w:tr>
      <w:tr>
        <w:trPr>
          <w:cantSplit w:val="0"/>
          <w:trHeight w:val="390" w:hRule="atLeast"/>
          <w:tblHeader w:val="0"/>
        </w:trPr>
        <w:tc>
          <w:tcPr>
            <w:gridSpan w:val="13"/>
            <w:tcBorders>
              <w:top w:color="000000" w:space="0" w:sz="0" w:val="nil"/>
              <w:left w:color="000000" w:space="0" w:sz="0" w:val="nil"/>
              <w:bottom w:color="000000" w:space="0" w:sz="0" w:val="nil"/>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56D">
            <w:pPr>
              <w:spacing w:after="60" w:lineRule="auto"/>
              <w:rPr>
                <w:rFonts w:ascii="Calibri" w:cs="Calibri" w:eastAsia="Calibri" w:hAnsi="Calibri"/>
                <w:sz w:val="20"/>
                <w:szCs w:val="20"/>
              </w:rPr>
            </w:pPr>
            <w:r w:rsidDel="00000000" w:rsidR="00000000" w:rsidRPr="00000000">
              <w:rPr>
                <w:rFonts w:ascii="Calibri" w:cs="Calibri" w:eastAsia="Calibri" w:hAnsi="Calibri"/>
                <w:i w:val="1"/>
                <w:iCs w:val="1"/>
                <w:sz w:val="34"/>
                <w:szCs w:val="34"/>
                <w:vertAlign w:val="superscript"/>
                <w:rtl w:val="0"/>
              </w:rPr>
              <w:t xml:space="preserve">4</w:t>
            </w:r>
            <w:r w:rsidDel="00000000" w:rsidR="00000000" w:rsidRPr="00000000">
              <w:rPr>
                <w:rFonts w:ascii="Calibri" w:cs="Calibri" w:eastAsia="Calibri" w:hAnsi="Calibri"/>
                <w:sz w:val="20"/>
                <w:szCs w:val="20"/>
                <w:rtl w:val="0"/>
              </w:rPr>
              <w:t xml:space="preserve">RMSE: root mean square error</w:t>
            </w:r>
          </w:p>
        </w:tc>
      </w:tr>
    </w:tbl>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spacing w:after="60" w:line="480" w:lineRule="auto"/>
        <w:rPr>
          <w:b w:val="1"/>
          <w:bCs w:val="1"/>
          <w:sz w:val="24"/>
          <w:szCs w:val="24"/>
        </w:rPr>
      </w:pPr>
      <w:r w:rsidDel="00000000" w:rsidR="00000000" w:rsidRPr="00000000">
        <w:rPr>
          <w:rtl w:val="0"/>
        </w:rPr>
      </w:r>
    </w:p>
    <w:p w:rsidR="00000000" w:rsidDel="00000000" w:rsidP="00000000" w:rsidRDefault="00000000" w:rsidRPr="00000000" w14:paraId="0000057C">
      <w:pPr>
        <w:spacing w:after="60" w:line="480" w:lineRule="auto"/>
        <w:rPr>
          <w:i w:val="1"/>
          <w:iCs w:val="1"/>
          <w:color w:val="333333"/>
          <w:sz w:val="24"/>
          <w:szCs w:val="24"/>
          <w:vertAlign w:val="superscript"/>
        </w:rPr>
      </w:pPr>
      <w:r w:rsidDel="00000000" w:rsidR="00000000" w:rsidRPr="00000000">
        <w:rPr>
          <w:b w:val="1"/>
          <w:bCs w:val="1"/>
          <w:sz w:val="24"/>
          <w:szCs w:val="24"/>
          <w:rtl w:val="0"/>
        </w:rPr>
        <w:t xml:space="preserve">Table S6: </w:t>
      </w:r>
      <w:r w:rsidDel="00000000" w:rsidR="00000000" w:rsidRPr="00000000">
        <w:rPr>
          <w:color w:val="333333"/>
          <w:sz w:val="24"/>
          <w:szCs w:val="24"/>
          <w:rtl w:val="0"/>
        </w:rPr>
        <w:t xml:space="preserve">Percentage of Subjects by Cluster and IO Treatment Status</w:t>
      </w:r>
      <w:r w:rsidDel="00000000" w:rsidR="00000000" w:rsidRPr="00000000">
        <w:rPr>
          <w:i w:val="1"/>
          <w:iCs w:val="1"/>
          <w:color w:val="333333"/>
          <w:sz w:val="24"/>
          <w:szCs w:val="24"/>
          <w:vertAlign w:val="superscript"/>
          <w:rtl w:val="0"/>
        </w:rPr>
        <w:t xml:space="preserve">1,2</w:t>
      </w:r>
    </w:p>
    <w:p w:rsidR="00000000" w:rsidDel="00000000" w:rsidP="00000000" w:rsidRDefault="00000000" w:rsidRPr="00000000" w14:paraId="0000057D">
      <w:pPr>
        <w:spacing w:after="60" w:line="480" w:lineRule="auto"/>
        <w:rPr>
          <w:b w:val="1"/>
          <w:bCs w:val="1"/>
          <w:color w:val="333333"/>
          <w:sz w:val="20"/>
          <w:szCs w:val="20"/>
        </w:rPr>
      </w:pPr>
      <w:r w:rsidDel="00000000" w:rsidR="00000000" w:rsidRPr="00000000">
        <w:rPr>
          <w:b w:val="1"/>
          <w:bCs w:val="1"/>
          <w:color w:val="333333"/>
          <w:sz w:val="20"/>
          <w:szCs w:val="20"/>
          <w:rtl w:val="0"/>
        </w:rPr>
        <w:t xml:space="preserve">Comparison of cluster distribution across groups</w:t>
      </w:r>
    </w:p>
    <w:tbl>
      <w:tblPr>
        <w:tblStyle w:val="Table6"/>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3405"/>
        <w:gridCol w:w="1800"/>
        <w:gridCol w:w="1785"/>
        <w:gridCol w:w="1515"/>
        <w:tblGridChange w:id="0">
          <w:tblGrid>
            <w:gridCol w:w="945"/>
            <w:gridCol w:w="3405"/>
            <w:gridCol w:w="1800"/>
            <w:gridCol w:w="1785"/>
            <w:gridCol w:w="1515"/>
          </w:tblGrid>
        </w:tblGridChange>
      </w:tblGrid>
      <w:tr>
        <w:trPr>
          <w:cantSplit w:val="0"/>
          <w:trHeight w:val="375" w:hRule="atLeast"/>
          <w:tblHeader w:val="0"/>
        </w:trPr>
        <w:tc>
          <w:tcPr>
            <w:tcBorders>
              <w:top w:color="d3d3d3" w:space="0" w:sz="18" w:val="single"/>
              <w:left w:color="d3d3d3" w:space="0" w:sz="6" w:val="single"/>
              <w:bottom w:color="d3d3d3" w:space="0" w:sz="18"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7E">
            <w:pPr>
              <w:spacing w:after="60" w:line="480" w:lineRule="auto"/>
              <w:rPr>
                <w:b w:val="1"/>
                <w:bCs w:val="1"/>
              </w:rPr>
            </w:pPr>
            <w:r w:rsidDel="00000000" w:rsidR="00000000" w:rsidRPr="00000000">
              <w:rPr>
                <w:b w:val="1"/>
                <w:bCs w:val="1"/>
                <w:rtl w:val="0"/>
              </w:rPr>
              <w:t xml:space="preserve"> </w:t>
            </w:r>
          </w:p>
        </w:tc>
        <w:tc>
          <w:tcPr>
            <w:tcBorders>
              <w:top w:color="d3d3d3" w:space="0" w:sz="18" w:val="single"/>
              <w:left w:color="000000" w:space="0" w:sz="0" w:val="nil"/>
              <w:bottom w:color="d3d3d3" w:space="0" w:sz="18"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57F">
            <w:pPr>
              <w:spacing w:after="60" w:line="480" w:lineRule="auto"/>
              <w:rPr>
                <w:b w:val="1"/>
                <w:bCs w:val="1"/>
                <w:i w:val="1"/>
                <w:iCs w:val="1"/>
                <w:vertAlign w:val="superscript"/>
              </w:rPr>
            </w:pPr>
            <w:r w:rsidDel="00000000" w:rsidR="00000000" w:rsidRPr="00000000">
              <w:rPr>
                <w:b w:val="1"/>
                <w:bCs w:val="1"/>
                <w:rtl w:val="0"/>
              </w:rPr>
              <w:t xml:space="preserve">Cluster</w:t>
            </w:r>
            <w:r w:rsidDel="00000000" w:rsidR="00000000" w:rsidRPr="00000000">
              <w:rPr>
                <w:b w:val="1"/>
                <w:bCs w:val="1"/>
                <w:i w:val="1"/>
                <w:iCs w:val="1"/>
                <w:vertAlign w:val="superscript"/>
                <w:rtl w:val="0"/>
              </w:rPr>
              <w:t xml:space="preserve">3,4</w:t>
            </w:r>
          </w:p>
        </w:tc>
        <w:tc>
          <w:tcPr>
            <w:tcBorders>
              <w:top w:color="d3d3d3" w:space="0" w:sz="18" w:val="single"/>
              <w:left w:color="000000" w:space="0" w:sz="0" w:val="nil"/>
              <w:bottom w:color="d3d3d3" w:space="0" w:sz="18"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580">
            <w:pPr>
              <w:spacing w:after="60" w:line="480" w:lineRule="auto"/>
              <w:jc w:val="right"/>
              <w:rPr>
                <w:b w:val="1"/>
                <w:bCs w:val="1"/>
                <w:i w:val="1"/>
                <w:iCs w:val="1"/>
                <w:vertAlign w:val="superscript"/>
              </w:rPr>
            </w:pPr>
            <w:r w:rsidDel="00000000" w:rsidR="00000000" w:rsidRPr="00000000">
              <w:rPr>
                <w:b w:val="1"/>
                <w:bCs w:val="1"/>
                <w:rtl w:val="0"/>
              </w:rPr>
              <w:t xml:space="preserve">IO+</w:t>
            </w:r>
            <w:r w:rsidDel="00000000" w:rsidR="00000000" w:rsidRPr="00000000">
              <w:rPr>
                <w:b w:val="1"/>
                <w:bCs w:val="1"/>
                <w:i w:val="1"/>
                <w:iCs w:val="1"/>
                <w:vertAlign w:val="superscript"/>
                <w:rtl w:val="0"/>
              </w:rPr>
              <w:t xml:space="preserve">5</w:t>
            </w:r>
          </w:p>
        </w:tc>
        <w:tc>
          <w:tcPr>
            <w:tcBorders>
              <w:top w:color="d3d3d3" w:space="0" w:sz="18" w:val="single"/>
              <w:left w:color="000000" w:space="0" w:sz="0" w:val="nil"/>
              <w:bottom w:color="d3d3d3" w:space="0" w:sz="18"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581">
            <w:pPr>
              <w:spacing w:after="60" w:line="480" w:lineRule="auto"/>
              <w:jc w:val="right"/>
              <w:rPr>
                <w:b w:val="1"/>
                <w:bCs w:val="1"/>
                <w:i w:val="1"/>
                <w:iCs w:val="1"/>
                <w:vertAlign w:val="superscript"/>
              </w:rPr>
            </w:pPr>
            <w:r w:rsidDel="00000000" w:rsidR="00000000" w:rsidRPr="00000000">
              <w:rPr>
                <w:b w:val="1"/>
                <w:bCs w:val="1"/>
                <w:rtl w:val="0"/>
              </w:rPr>
              <w:t xml:space="preserve">IO-</w:t>
            </w:r>
            <w:r w:rsidDel="00000000" w:rsidR="00000000" w:rsidRPr="00000000">
              <w:rPr>
                <w:b w:val="1"/>
                <w:bCs w:val="1"/>
                <w:i w:val="1"/>
                <w:iCs w:val="1"/>
                <w:vertAlign w:val="superscript"/>
                <w:rtl w:val="0"/>
              </w:rPr>
              <w:t xml:space="preserve">5</w:t>
            </w:r>
          </w:p>
        </w:tc>
        <w:tc>
          <w:tcPr>
            <w:tcBorders>
              <w:top w:color="d3d3d3" w:space="0" w:sz="18" w:val="single"/>
              <w:left w:color="000000" w:space="0" w:sz="0" w:val="nil"/>
              <w:bottom w:color="d3d3d3" w:space="0" w:sz="18"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82">
            <w:pPr>
              <w:spacing w:after="60" w:line="480" w:lineRule="auto"/>
              <w:jc w:val="right"/>
              <w:rPr>
                <w:b w:val="1"/>
                <w:bCs w:val="1"/>
              </w:rPr>
            </w:pPr>
            <w:r w:rsidDel="00000000" w:rsidR="00000000" w:rsidRPr="00000000">
              <w:rPr>
                <w:b w:val="1"/>
                <w:bCs w:val="1"/>
                <w:rtl w:val="0"/>
              </w:rPr>
              <w:t xml:space="preserve">significance</w:t>
            </w:r>
          </w:p>
        </w:tc>
      </w:tr>
      <w:tr>
        <w:trPr>
          <w:cantSplit w:val="0"/>
          <w:trHeight w:val="360" w:hRule="atLeast"/>
          <w:tblHeader w:val="0"/>
        </w:trPr>
        <w:tc>
          <w:tcPr>
            <w:tcBorders>
              <w:top w:color="000000" w:space="0" w:sz="0" w:val="nil"/>
              <w:left w:color="d3d3d3" w:space="0" w:sz="6" w:val="single"/>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83">
            <w:pPr>
              <w:spacing w:after="60" w:line="48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84">
            <w:pPr>
              <w:spacing w:after="60" w:line="480" w:lineRule="auto"/>
              <w:rPr/>
            </w:pPr>
            <w:r w:rsidDel="00000000" w:rsidR="00000000" w:rsidRPr="00000000">
              <w:rPr>
                <w:rtl w:val="0"/>
              </w:rPr>
              <w:t xml:space="preserve">Immediate PD (Refractory)</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85">
            <w:pPr>
              <w:spacing w:after="60" w:line="480" w:lineRule="auto"/>
              <w:jc w:val="right"/>
              <w:rPr/>
            </w:pPr>
            <w:r w:rsidDel="00000000" w:rsidR="00000000" w:rsidRPr="00000000">
              <w:rPr>
                <w:rtl w:val="0"/>
              </w:rPr>
              <w:t xml:space="preserve">55 (2.7%)</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86">
            <w:pPr>
              <w:spacing w:after="60" w:line="480" w:lineRule="auto"/>
              <w:jc w:val="right"/>
              <w:rPr/>
            </w:pPr>
            <w:r w:rsidDel="00000000" w:rsidR="00000000" w:rsidRPr="00000000">
              <w:rPr>
                <w:rtl w:val="0"/>
              </w:rPr>
              <w:t xml:space="preserve">49 (4.4%)</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87">
            <w:pPr>
              <w:spacing w:after="60" w:line="480" w:lineRule="auto"/>
              <w:jc w:val="right"/>
              <w:rPr/>
            </w:pPr>
            <w:r w:rsidDel="00000000" w:rsidR="00000000" w:rsidRPr="00000000">
              <w:rPr>
                <w:rtl w:val="0"/>
              </w:rPr>
              <w:t xml:space="preserve"> </w:t>
            </w:r>
          </w:p>
        </w:tc>
      </w:tr>
      <w:tr>
        <w:trPr>
          <w:cantSplit w:val="0"/>
          <w:trHeight w:val="345" w:hRule="atLeast"/>
          <w:tblHeader w:val="0"/>
        </w:trPr>
        <w:tc>
          <w:tcPr>
            <w:tcBorders>
              <w:top w:color="000000" w:space="0" w:sz="0" w:val="nil"/>
              <w:left w:color="d3d3d3" w:space="0" w:sz="6" w:val="single"/>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88">
            <w:pPr>
              <w:spacing w:after="60" w:line="48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89">
            <w:pPr>
              <w:spacing w:after="60" w:line="480" w:lineRule="auto"/>
              <w:rPr/>
            </w:pPr>
            <w:r w:rsidDel="00000000" w:rsidR="00000000" w:rsidRPr="00000000">
              <w:rPr>
                <w:rtl w:val="0"/>
              </w:rPr>
              <w:t xml:space="preserve">SD then Progress**</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8A">
            <w:pPr>
              <w:spacing w:after="60" w:line="480" w:lineRule="auto"/>
              <w:jc w:val="right"/>
              <w:rPr/>
            </w:pPr>
            <w:r w:rsidDel="00000000" w:rsidR="00000000" w:rsidRPr="00000000">
              <w:rPr>
                <w:rtl w:val="0"/>
              </w:rPr>
              <w:t xml:space="preserve">229 (11.4%)</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8B">
            <w:pPr>
              <w:spacing w:after="60" w:line="480" w:lineRule="auto"/>
              <w:jc w:val="right"/>
              <w:rPr/>
            </w:pPr>
            <w:r w:rsidDel="00000000" w:rsidR="00000000" w:rsidRPr="00000000">
              <w:rPr>
                <w:rtl w:val="0"/>
              </w:rPr>
              <w:t xml:space="preserve">149 (13.4%)</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8C">
            <w:pPr>
              <w:spacing w:after="60" w:line="480" w:lineRule="auto"/>
              <w:jc w:val="right"/>
              <w:rPr/>
            </w:pPr>
            <w:r w:rsidDel="00000000" w:rsidR="00000000" w:rsidRPr="00000000">
              <w:rPr>
                <w:rtl w:val="0"/>
              </w:rPr>
              <w:t xml:space="preserve">**</w:t>
            </w:r>
          </w:p>
        </w:tc>
      </w:tr>
      <w:tr>
        <w:trPr>
          <w:cantSplit w:val="0"/>
          <w:trHeight w:val="345" w:hRule="atLeast"/>
          <w:tblHeader w:val="0"/>
        </w:trPr>
        <w:tc>
          <w:tcPr>
            <w:tcBorders>
              <w:top w:color="000000" w:space="0" w:sz="0" w:val="nil"/>
              <w:left w:color="d3d3d3" w:space="0" w:sz="6" w:val="single"/>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8D">
            <w:pPr>
              <w:spacing w:after="60" w:line="48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8E">
            <w:pPr>
              <w:spacing w:after="60" w:line="480" w:lineRule="auto"/>
              <w:rPr/>
            </w:pPr>
            <w:r w:rsidDel="00000000" w:rsidR="00000000" w:rsidRPr="00000000">
              <w:rPr>
                <w:rtl w:val="0"/>
              </w:rPr>
              <w:t xml:space="preserve">SD Maintained (No Progress)**</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8F">
            <w:pPr>
              <w:spacing w:after="60" w:line="480" w:lineRule="auto"/>
              <w:jc w:val="right"/>
              <w:rPr/>
            </w:pPr>
            <w:r w:rsidDel="00000000" w:rsidR="00000000" w:rsidRPr="00000000">
              <w:rPr>
                <w:rtl w:val="0"/>
              </w:rPr>
              <w:t xml:space="preserve">472 (23.6%)</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90">
            <w:pPr>
              <w:spacing w:after="60" w:line="480" w:lineRule="auto"/>
              <w:jc w:val="right"/>
              <w:rPr/>
            </w:pPr>
            <w:r w:rsidDel="00000000" w:rsidR="00000000" w:rsidRPr="00000000">
              <w:rPr>
                <w:rtl w:val="0"/>
              </w:rPr>
              <w:t xml:space="preserve">373 (33.5%)</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91">
            <w:pPr>
              <w:spacing w:after="60" w:line="480" w:lineRule="auto"/>
              <w:jc w:val="right"/>
              <w:rPr/>
            </w:pPr>
            <w:r w:rsidDel="00000000" w:rsidR="00000000" w:rsidRPr="00000000">
              <w:rPr>
                <w:rtl w:val="0"/>
              </w:rPr>
              <w:t xml:space="preserve">**</w:t>
            </w:r>
          </w:p>
        </w:tc>
      </w:tr>
      <w:tr>
        <w:trPr>
          <w:cantSplit w:val="0"/>
          <w:trHeight w:val="345" w:hRule="atLeast"/>
          <w:tblHeader w:val="0"/>
        </w:trPr>
        <w:tc>
          <w:tcPr>
            <w:tcBorders>
              <w:top w:color="000000" w:space="0" w:sz="0" w:val="nil"/>
              <w:left w:color="d3d3d3" w:space="0" w:sz="6" w:val="single"/>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92">
            <w:pPr>
              <w:spacing w:after="60" w:line="48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93">
            <w:pPr>
              <w:spacing w:after="60" w:line="480" w:lineRule="auto"/>
              <w:rPr/>
            </w:pPr>
            <w:r w:rsidDel="00000000" w:rsidR="00000000" w:rsidRPr="00000000">
              <w:rPr>
                <w:rtl w:val="0"/>
              </w:rPr>
              <w:t xml:space="preserve">PR then Progress**</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94">
            <w:pPr>
              <w:spacing w:after="60" w:line="480" w:lineRule="auto"/>
              <w:jc w:val="right"/>
              <w:rPr/>
            </w:pPr>
            <w:r w:rsidDel="00000000" w:rsidR="00000000" w:rsidRPr="00000000">
              <w:rPr>
                <w:rtl w:val="0"/>
              </w:rPr>
              <w:t xml:space="preserve">458 (22.9%)</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95">
            <w:pPr>
              <w:spacing w:after="60" w:line="480" w:lineRule="auto"/>
              <w:jc w:val="right"/>
              <w:rPr/>
            </w:pPr>
            <w:r w:rsidDel="00000000" w:rsidR="00000000" w:rsidRPr="00000000">
              <w:rPr>
                <w:rtl w:val="0"/>
              </w:rPr>
              <w:t xml:space="preserve">230 (20.7%)</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96">
            <w:pPr>
              <w:spacing w:after="60" w:line="480" w:lineRule="auto"/>
              <w:jc w:val="right"/>
              <w:rPr/>
            </w:pPr>
            <w:r w:rsidDel="00000000" w:rsidR="00000000" w:rsidRPr="00000000">
              <w:rPr>
                <w:rtl w:val="0"/>
              </w:rPr>
              <w:t xml:space="preserve">**</w:t>
            </w:r>
          </w:p>
        </w:tc>
      </w:tr>
      <w:tr>
        <w:trPr>
          <w:cantSplit w:val="0"/>
          <w:trHeight w:val="345" w:hRule="atLeast"/>
          <w:tblHeader w:val="0"/>
        </w:trPr>
        <w:tc>
          <w:tcPr>
            <w:tcBorders>
              <w:top w:color="000000" w:space="0" w:sz="0" w:val="nil"/>
              <w:left w:color="d3d3d3" w:space="0" w:sz="6" w:val="single"/>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97">
            <w:pPr>
              <w:spacing w:after="60" w:line="48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98">
            <w:pPr>
              <w:spacing w:after="60" w:line="480" w:lineRule="auto"/>
              <w:rPr/>
            </w:pPr>
            <w:r w:rsidDel="00000000" w:rsidR="00000000" w:rsidRPr="00000000">
              <w:rPr>
                <w:rtl w:val="0"/>
              </w:rPr>
              <w:t xml:space="preserve">PR Maintained (No Progress)**</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99">
            <w:pPr>
              <w:spacing w:after="60" w:line="480" w:lineRule="auto"/>
              <w:jc w:val="right"/>
              <w:rPr/>
            </w:pPr>
            <w:r w:rsidDel="00000000" w:rsidR="00000000" w:rsidRPr="00000000">
              <w:rPr>
                <w:rtl w:val="0"/>
              </w:rPr>
              <w:t xml:space="preserve">707 (35.3%)</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9A">
            <w:pPr>
              <w:spacing w:after="60" w:line="480" w:lineRule="auto"/>
              <w:jc w:val="right"/>
              <w:rPr/>
            </w:pPr>
            <w:r w:rsidDel="00000000" w:rsidR="00000000" w:rsidRPr="00000000">
              <w:rPr>
                <w:rtl w:val="0"/>
              </w:rPr>
              <w:t xml:space="preserve">293 (26.3%)</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9B">
            <w:pPr>
              <w:spacing w:after="60" w:line="480" w:lineRule="auto"/>
              <w:jc w:val="right"/>
              <w:rPr/>
            </w:pPr>
            <w:r w:rsidDel="00000000" w:rsidR="00000000" w:rsidRPr="00000000">
              <w:rPr>
                <w:rtl w:val="0"/>
              </w:rPr>
              <w:t xml:space="preserve">**</w:t>
            </w:r>
          </w:p>
        </w:tc>
      </w:tr>
      <w:tr>
        <w:trPr>
          <w:cantSplit w:val="0"/>
          <w:trHeight w:val="345" w:hRule="atLeast"/>
          <w:tblHeader w:val="0"/>
        </w:trPr>
        <w:tc>
          <w:tcPr>
            <w:tcBorders>
              <w:top w:color="000000" w:space="0" w:sz="0" w:val="nil"/>
              <w:left w:color="d3d3d3" w:space="0" w:sz="6" w:val="single"/>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9C">
            <w:pPr>
              <w:spacing w:after="60" w:line="48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9D">
            <w:pPr>
              <w:spacing w:after="60" w:line="480" w:lineRule="auto"/>
              <w:rPr/>
            </w:pPr>
            <w:r w:rsidDel="00000000" w:rsidR="00000000" w:rsidRPr="00000000">
              <w:rPr>
                <w:rtl w:val="0"/>
              </w:rPr>
              <w:t xml:space="preserve">CR then Progress*</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9E">
            <w:pPr>
              <w:spacing w:after="60" w:line="480" w:lineRule="auto"/>
              <w:jc w:val="right"/>
              <w:rPr/>
            </w:pPr>
            <w:r w:rsidDel="00000000" w:rsidR="00000000" w:rsidRPr="00000000">
              <w:rPr>
                <w:rtl w:val="0"/>
              </w:rPr>
              <w:t xml:space="preserve">13 (0.6%)</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9F">
            <w:pPr>
              <w:spacing w:after="60" w:line="480" w:lineRule="auto"/>
              <w:jc w:val="right"/>
              <w:rPr/>
            </w:pPr>
            <w:r w:rsidDel="00000000" w:rsidR="00000000" w:rsidRPr="00000000">
              <w:rPr>
                <w:rtl w:val="0"/>
              </w:rPr>
              <w:t xml:space="preserve">4 (0.4%)</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A0">
            <w:pPr>
              <w:spacing w:after="60" w:line="480" w:lineRule="auto"/>
              <w:jc w:val="right"/>
              <w:rPr/>
            </w:pPr>
            <w:r w:rsidDel="00000000" w:rsidR="00000000" w:rsidRPr="00000000">
              <w:rPr>
                <w:rtl w:val="0"/>
              </w:rPr>
              <w:t xml:space="preserve">*</w:t>
            </w:r>
          </w:p>
        </w:tc>
      </w:tr>
      <w:tr>
        <w:trPr>
          <w:cantSplit w:val="0"/>
          <w:trHeight w:val="345" w:hRule="atLeast"/>
          <w:tblHeader w:val="0"/>
        </w:trPr>
        <w:tc>
          <w:tcPr>
            <w:tcBorders>
              <w:top w:color="000000" w:space="0" w:sz="0" w:val="nil"/>
              <w:left w:color="d3d3d3" w:space="0" w:sz="6" w:val="single"/>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A1">
            <w:pPr>
              <w:spacing w:after="60" w:line="48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A2">
            <w:pPr>
              <w:spacing w:after="60" w:line="480" w:lineRule="auto"/>
              <w:rPr/>
            </w:pPr>
            <w:r w:rsidDel="00000000" w:rsidR="00000000" w:rsidRPr="00000000">
              <w:rPr>
                <w:rtl w:val="0"/>
              </w:rPr>
              <w:t xml:space="preserve">CR Maintained (No Progress)**</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A3">
            <w:pPr>
              <w:spacing w:after="60" w:line="480" w:lineRule="auto"/>
              <w:jc w:val="right"/>
              <w:rPr/>
            </w:pPr>
            <w:r w:rsidDel="00000000" w:rsidR="00000000" w:rsidRPr="00000000">
              <w:rPr>
                <w:rtl w:val="0"/>
              </w:rPr>
              <w:t xml:space="preserve">69 (3.4%)</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A4">
            <w:pPr>
              <w:spacing w:after="60" w:line="480" w:lineRule="auto"/>
              <w:jc w:val="right"/>
              <w:rPr/>
            </w:pPr>
            <w:r w:rsidDel="00000000" w:rsidR="00000000" w:rsidRPr="00000000">
              <w:rPr>
                <w:rtl w:val="0"/>
              </w:rPr>
              <w:t xml:space="preserve">15 (1.3%)</w:t>
            </w:r>
          </w:p>
        </w:tc>
        <w:tc>
          <w:tcPr>
            <w:tcBorders>
              <w:top w:color="000000" w:space="0" w:sz="0" w:val="nil"/>
              <w:left w:color="000000" w:space="0" w:sz="0" w:val="nil"/>
              <w:bottom w:color="d3d3d3" w:space="0" w:sz="6" w:val="single"/>
              <w:right w:color="d3d3d3" w:space="0" w:sz="6" w:val="single"/>
            </w:tcBorders>
            <w:tcMar>
              <w:top w:w="0.0" w:type="dxa"/>
              <w:left w:w="60.0" w:type="dxa"/>
              <w:bottom w:w="0.0" w:type="dxa"/>
              <w:right w:w="60.0" w:type="dxa"/>
            </w:tcMar>
            <w:vAlign w:val="top"/>
          </w:tcPr>
          <w:p w:rsidR="00000000" w:rsidDel="00000000" w:rsidP="00000000" w:rsidRDefault="00000000" w:rsidRPr="00000000" w14:paraId="000005A5">
            <w:pPr>
              <w:spacing w:after="60" w:line="480" w:lineRule="auto"/>
              <w:jc w:val="right"/>
              <w:rPr/>
            </w:pPr>
            <w:r w:rsidDel="00000000" w:rsidR="00000000" w:rsidRPr="00000000">
              <w:rPr>
                <w:rtl w:val="0"/>
              </w:rPr>
              <w:t xml:space="preserve">**</w:t>
            </w:r>
          </w:p>
        </w:tc>
      </w:tr>
      <w:tr>
        <w:trPr>
          <w:cantSplit w:val="0"/>
          <w:trHeight w:val="360" w:hRule="atLeast"/>
          <w:tblHeader w:val="0"/>
        </w:trPr>
        <w:tc>
          <w:tcPr>
            <w:tcBorders>
              <w:top w:color="000000" w:space="0" w:sz="0" w:val="nil"/>
              <w:left w:color="d3d3d3" w:space="0" w:sz="6" w:val="single"/>
              <w:bottom w:color="d3d3d3" w:space="0" w:sz="18" w:val="single"/>
              <w:right w:color="d3d3d3" w:space="0" w:sz="6" w:val="single"/>
            </w:tcBorders>
            <w:tcMar>
              <w:top w:w="60.0" w:type="dxa"/>
              <w:left w:w="60.0" w:type="dxa"/>
              <w:bottom w:w="0.0" w:type="dxa"/>
              <w:right w:w="60.0" w:type="dxa"/>
            </w:tcMar>
            <w:vAlign w:val="top"/>
          </w:tcPr>
          <w:p w:rsidR="00000000" w:rsidDel="00000000" w:rsidP="00000000" w:rsidRDefault="00000000" w:rsidRPr="00000000" w14:paraId="000005A6">
            <w:pPr>
              <w:spacing w:after="60" w:line="480" w:lineRule="auto"/>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d3d3d3" w:space="0" w:sz="18" w:val="single"/>
              <w:right w:color="d3d3d3" w:space="0" w:sz="6" w:val="single"/>
            </w:tcBorders>
            <w:tcMar>
              <w:top w:w="60.0" w:type="dxa"/>
              <w:left w:w="60.0" w:type="dxa"/>
              <w:bottom w:w="0.0" w:type="dxa"/>
              <w:right w:w="60.0" w:type="dxa"/>
            </w:tcMar>
            <w:vAlign w:val="top"/>
          </w:tcPr>
          <w:p w:rsidR="00000000" w:rsidDel="00000000" w:rsidP="00000000" w:rsidRDefault="00000000" w:rsidRPr="00000000" w14:paraId="000005A7">
            <w:pPr>
              <w:spacing w:after="60" w:line="48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d3d3d3" w:space="0" w:sz="18" w:val="single"/>
              <w:right w:color="d3d3d3" w:space="0" w:sz="6" w:val="single"/>
            </w:tcBorders>
            <w:tcMar>
              <w:top w:w="60.0" w:type="dxa"/>
              <w:left w:w="60.0" w:type="dxa"/>
              <w:bottom w:w="0.0" w:type="dxa"/>
              <w:right w:w="60.0" w:type="dxa"/>
            </w:tcMar>
            <w:vAlign w:val="top"/>
          </w:tcPr>
          <w:p w:rsidR="00000000" w:rsidDel="00000000" w:rsidP="00000000" w:rsidRDefault="00000000" w:rsidRPr="00000000" w14:paraId="000005A8">
            <w:pPr>
              <w:spacing w:after="60" w:line="480" w:lineRule="auto"/>
              <w:rPr>
                <w:b w:val="1"/>
                <w:bCs w:val="1"/>
              </w:rPr>
            </w:pPr>
            <w:r w:rsidDel="00000000" w:rsidR="00000000" w:rsidRPr="00000000">
              <w:rPr>
                <w:b w:val="1"/>
                <w:bCs w:val="1"/>
                <w:rtl w:val="0"/>
              </w:rPr>
              <w:t xml:space="preserve">2,003</w:t>
            </w:r>
          </w:p>
        </w:tc>
        <w:tc>
          <w:tcPr>
            <w:tcBorders>
              <w:top w:color="000000" w:space="0" w:sz="0" w:val="nil"/>
              <w:left w:color="000000" w:space="0" w:sz="0" w:val="nil"/>
              <w:bottom w:color="d3d3d3" w:space="0" w:sz="18" w:val="single"/>
              <w:right w:color="d3d3d3" w:space="0" w:sz="6" w:val="single"/>
            </w:tcBorders>
            <w:tcMar>
              <w:top w:w="60.0" w:type="dxa"/>
              <w:left w:w="60.0" w:type="dxa"/>
              <w:bottom w:w="0.0" w:type="dxa"/>
              <w:right w:w="60.0" w:type="dxa"/>
            </w:tcMar>
            <w:vAlign w:val="top"/>
          </w:tcPr>
          <w:p w:rsidR="00000000" w:rsidDel="00000000" w:rsidP="00000000" w:rsidRDefault="00000000" w:rsidRPr="00000000" w14:paraId="000005A9">
            <w:pPr>
              <w:spacing w:after="60" w:line="480" w:lineRule="auto"/>
              <w:rPr>
                <w:b w:val="1"/>
                <w:bCs w:val="1"/>
              </w:rPr>
            </w:pPr>
            <w:r w:rsidDel="00000000" w:rsidR="00000000" w:rsidRPr="00000000">
              <w:rPr>
                <w:b w:val="1"/>
                <w:bCs w:val="1"/>
                <w:rtl w:val="0"/>
              </w:rPr>
              <w:t xml:space="preserve">1,113</w:t>
            </w:r>
          </w:p>
        </w:tc>
        <w:tc>
          <w:tcPr>
            <w:tcBorders>
              <w:top w:color="000000" w:space="0" w:sz="0" w:val="nil"/>
              <w:left w:color="000000" w:space="0" w:sz="0" w:val="nil"/>
              <w:bottom w:color="d3d3d3" w:space="0" w:sz="18" w:val="single"/>
              <w:right w:color="d3d3d3" w:space="0" w:sz="6" w:val="single"/>
            </w:tcBorders>
            <w:tcMar>
              <w:top w:w="60.0" w:type="dxa"/>
              <w:left w:w="60.0" w:type="dxa"/>
              <w:bottom w:w="0.0" w:type="dxa"/>
              <w:right w:w="60.0" w:type="dxa"/>
            </w:tcMar>
            <w:vAlign w:val="top"/>
          </w:tcPr>
          <w:p w:rsidR="00000000" w:rsidDel="00000000" w:rsidP="00000000" w:rsidRDefault="00000000" w:rsidRPr="00000000" w14:paraId="000005AA">
            <w:pPr>
              <w:spacing w:after="60" w:line="480" w:lineRule="auto"/>
              <w:rPr>
                <w:b w:val="1"/>
                <w:bCs w:val="1"/>
              </w:rPr>
            </w:pPr>
            <w:r w:rsidDel="00000000" w:rsidR="00000000" w:rsidRPr="00000000">
              <w:rPr>
                <w:b w:val="1"/>
                <w:bCs w:val="1"/>
                <w:rtl w:val="0"/>
              </w:rPr>
              <w:t xml:space="preserve">—</w:t>
            </w:r>
          </w:p>
        </w:tc>
      </w:tr>
      <w:tr>
        <w:trPr>
          <w:cantSplit w:val="0"/>
          <w:trHeight w:val="1410"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5AB">
            <w:pPr>
              <w:spacing w:after="60" w:line="480" w:lineRule="auto"/>
              <w:rPr>
                <w:i w:val="1"/>
                <w:iCs w:val="1"/>
                <w:sz w:val="16"/>
                <w:szCs w:val="16"/>
              </w:rPr>
            </w:pPr>
            <w:r w:rsidDel="00000000" w:rsidR="00000000" w:rsidRPr="00000000">
              <w:rPr>
                <w:i w:val="1"/>
                <w:iCs w:val="1"/>
                <w:sz w:val="16"/>
                <w:szCs w:val="16"/>
                <w:vertAlign w:val="superscript"/>
                <w:rtl w:val="0"/>
              </w:rPr>
              <w:t xml:space="preserve">1</w:t>
            </w:r>
            <w:r w:rsidDel="00000000" w:rsidR="00000000" w:rsidRPr="00000000">
              <w:rPr>
                <w:i w:val="1"/>
                <w:iCs w:val="1"/>
                <w:sz w:val="16"/>
                <w:szCs w:val="16"/>
                <w:rtl w:val="0"/>
              </w:rPr>
              <w:t xml:space="preserve">Patients with only 1 SLD measurement are excluded. </w:t>
            </w:r>
          </w:p>
          <w:p w:rsidR="00000000" w:rsidDel="00000000" w:rsidP="00000000" w:rsidRDefault="00000000" w:rsidRPr="00000000" w14:paraId="000005AC">
            <w:pPr>
              <w:spacing w:after="60" w:line="480" w:lineRule="auto"/>
              <w:rPr>
                <w:i w:val="1"/>
                <w:iCs w:val="1"/>
                <w:sz w:val="16"/>
                <w:szCs w:val="16"/>
              </w:rPr>
            </w:pPr>
            <w:r w:rsidDel="00000000" w:rsidR="00000000" w:rsidRPr="00000000">
              <w:rPr>
                <w:i w:val="1"/>
                <w:iCs w:val="1"/>
                <w:sz w:val="16"/>
                <w:szCs w:val="16"/>
                <w:vertAlign w:val="superscript"/>
                <w:rtl w:val="0"/>
              </w:rPr>
              <w:t xml:space="preserve">2</w:t>
            </w:r>
            <w:r w:rsidDel="00000000" w:rsidR="00000000" w:rsidRPr="00000000">
              <w:rPr>
                <w:i w:val="1"/>
                <w:iCs w:val="1"/>
                <w:sz w:val="16"/>
                <w:szCs w:val="16"/>
                <w:rtl w:val="0"/>
              </w:rPr>
              <w:t xml:space="preserve">Unclassified subjects excluded; multiple-comparison adjusted (BH). </w:t>
            </w:r>
          </w:p>
          <w:p w:rsidR="00000000" w:rsidDel="00000000" w:rsidP="00000000" w:rsidRDefault="00000000" w:rsidRPr="00000000" w14:paraId="000005AD">
            <w:pPr>
              <w:spacing w:after="60" w:line="480" w:lineRule="auto"/>
              <w:rPr>
                <w:i w:val="1"/>
                <w:iCs w:val="1"/>
                <w:sz w:val="16"/>
                <w:szCs w:val="16"/>
              </w:rPr>
            </w:pPr>
            <w:r w:rsidDel="00000000" w:rsidR="00000000" w:rsidRPr="00000000">
              <w:rPr>
                <w:i w:val="1"/>
                <w:iCs w:val="1"/>
                <w:sz w:val="16"/>
                <w:szCs w:val="16"/>
                <w:vertAlign w:val="superscript"/>
                <w:rtl w:val="0"/>
              </w:rPr>
              <w:t xml:space="preserve">3</w:t>
            </w:r>
            <w:r w:rsidDel="00000000" w:rsidR="00000000" w:rsidRPr="00000000">
              <w:rPr>
                <w:i w:val="1"/>
                <w:iCs w:val="1"/>
                <w:sz w:val="16"/>
                <w:szCs w:val="16"/>
                <w:rtl w:val="0"/>
              </w:rPr>
              <w:t xml:space="preserve">* p &lt; 0.05, ** p &lt; 0.01 (Chi-squared test)</w:t>
            </w:r>
          </w:p>
          <w:p w:rsidR="00000000" w:rsidDel="00000000" w:rsidP="00000000" w:rsidRDefault="00000000" w:rsidRPr="00000000" w14:paraId="000005AE">
            <w:pPr>
              <w:spacing w:after="60" w:line="480" w:lineRule="auto"/>
              <w:rPr>
                <w:sz w:val="16"/>
                <w:szCs w:val="16"/>
              </w:rPr>
            </w:pPr>
            <w:r w:rsidDel="00000000" w:rsidR="00000000" w:rsidRPr="00000000">
              <w:rPr>
                <w:i w:val="1"/>
                <w:iCs w:val="1"/>
                <w:sz w:val="16"/>
                <w:szCs w:val="16"/>
                <w:vertAlign w:val="superscript"/>
                <w:rtl w:val="0"/>
              </w:rPr>
              <w:t xml:space="preserve">4</w:t>
            </w:r>
            <w:r w:rsidDel="00000000" w:rsidR="00000000" w:rsidRPr="00000000">
              <w:rPr>
                <w:rFonts w:ascii="Arial Unicode MS" w:cs="Arial Unicode MS" w:eastAsia="Arial Unicode MS" w:hAnsi="Arial Unicode MS"/>
                <w:sz w:val="16"/>
                <w:szCs w:val="16"/>
                <w:rtl w:val="0"/>
              </w:rPr>
              <w:t xml:space="preserve">**Immediate PD** (Refractory): PD at 1st follow-up or all SLD measurements &gt; baseline with one PD event; ≤26 weeks follow-up **SD then Progress**: No CR/PR, then PD from nadir; or meets Refractory criteria but &gt;26 weeks follow-up **SD Maintained**: No CR/PR and no PD **PR then Progress**: Achieved PR, then PD **PR Maintained**: Achieved PR with no PD **CR then Progress**: Achieved CR, then PD **CR Maintained**: Achieved CR and maintained Where: PD (Progressive Disease) = tumor growth ≥20% from nadir AND SLD increase ≥5mm; PR (Partial Response) = shrinkage ≥30% from baseline; CR (Complete Response) = complete disappearance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2">
            <w:pPr>
              <w:spacing w:line="480" w:lineRule="auto"/>
              <w:rPr>
                <w:b w:val="1"/>
                <w:bCs w:val="1"/>
              </w:rPr>
            </w:pPr>
            <w:r w:rsidDel="00000000" w:rsidR="00000000" w:rsidRPr="00000000">
              <w:rPr>
                <w:rtl w:val="0"/>
              </w:rPr>
            </w:r>
          </w:p>
        </w:tc>
      </w:tr>
      <w:tr>
        <w:trPr>
          <w:cantSplit w:val="0"/>
          <w:trHeight w:val="330"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60.0" w:type="dxa"/>
              <w:bottom w:w="0.0" w:type="dxa"/>
              <w:right w:w="60.0" w:type="dxa"/>
            </w:tcMar>
            <w:vAlign w:val="top"/>
          </w:tcPr>
          <w:p w:rsidR="00000000" w:rsidDel="00000000" w:rsidP="00000000" w:rsidRDefault="00000000" w:rsidRPr="00000000" w14:paraId="000005B3">
            <w:pPr>
              <w:spacing w:after="60" w:line="480" w:lineRule="auto"/>
              <w:rPr>
                <w:sz w:val="16"/>
                <w:szCs w:val="16"/>
              </w:rPr>
            </w:pPr>
            <w:r w:rsidDel="00000000" w:rsidR="00000000" w:rsidRPr="00000000">
              <w:rPr>
                <w:i w:val="1"/>
                <w:iCs w:val="1"/>
                <w:sz w:val="16"/>
                <w:szCs w:val="16"/>
                <w:vertAlign w:val="superscript"/>
                <w:rtl w:val="0"/>
              </w:rPr>
              <w:t xml:space="preserve">5</w:t>
            </w:r>
            <w:r w:rsidDel="00000000" w:rsidR="00000000" w:rsidRPr="00000000">
              <w:rPr>
                <w:sz w:val="16"/>
                <w:szCs w:val="16"/>
                <w:rtl w:val="0"/>
              </w:rPr>
              <w:t xml:space="preserve">n (%): number of subjects in each cluster and treatment group</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7">
            <w:pPr>
              <w:spacing w:line="480" w:lineRule="auto"/>
              <w:rPr>
                <w:b w:val="1"/>
                <w:bCs w:val="1"/>
              </w:rPr>
            </w:pPr>
            <w:r w:rsidDel="00000000" w:rsidR="00000000" w:rsidRPr="00000000">
              <w:rPr>
                <w:rtl w:val="0"/>
              </w:rPr>
            </w:r>
          </w:p>
        </w:tc>
      </w:tr>
    </w:tbl>
    <w:p w:rsidR="00000000" w:rsidDel="00000000" w:rsidP="00000000" w:rsidRDefault="00000000" w:rsidRPr="00000000" w14:paraId="000005B8">
      <w:pPr>
        <w:spacing w:after="180" w:before="180" w:line="48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B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5BA">
      <w:pPr>
        <w:pStyle w:val="Heading1"/>
        <w:jc w:val="both"/>
        <w:rPr>
          <w:rFonts w:ascii="Roboto" w:cs="Roboto" w:eastAsia="Roboto" w:hAnsi="Roboto"/>
          <w:sz w:val="24"/>
          <w:szCs w:val="24"/>
        </w:rPr>
      </w:pPr>
      <w:bookmarkStart w:colFirst="0" w:colLast="0" w:name="_w7vkugvql10u" w:id="11"/>
      <w:bookmarkEnd w:id="1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5BB">
      <w:pPr>
        <w:spacing w:line="240" w:lineRule="auto"/>
        <w:ind w:left="384.00000000000006" w:hanging="384.00000000000006"/>
        <w:rPr/>
      </w:pPr>
      <w:hyperlink r:id="rId12">
        <w:r w:rsidDel="00000000" w:rsidR="00000000" w:rsidRPr="00000000">
          <w:rPr>
            <w:shd w:fill="auto" w:val="clear"/>
            <w:vertAlign w:val="baseline"/>
            <w:rtl w:val="0"/>
          </w:rPr>
          <w:t xml:space="preserve">[1]</w:t>
          <w:tab/>
          <w:t xml:space="preserve">I. González‐García </w:t>
        </w:r>
      </w:hyperlink>
      <w:hyperlink r:id="rId13">
        <w:r w:rsidDel="00000000" w:rsidR="00000000" w:rsidRPr="00000000">
          <w:rPr>
            <w:i w:val="1"/>
            <w:iCs w:val="1"/>
            <w:shd w:fill="auto" w:val="clear"/>
            <w:vertAlign w:val="baseline"/>
            <w:rtl w:val="0"/>
          </w:rPr>
          <w:t xml:space="preserve">et al.</w:t>
        </w:r>
      </w:hyperlink>
      <w:hyperlink r:id="rId14">
        <w:r w:rsidDel="00000000" w:rsidR="00000000" w:rsidRPr="00000000">
          <w:rPr>
            <w:shd w:fill="auto" w:val="clear"/>
            <w:vertAlign w:val="baseline"/>
            <w:rtl w:val="0"/>
          </w:rPr>
          <w:t xml:space="preserve">, “Early predictions of response and survival from a tumor dynamics model in patients with recurrent, metastatic head and neck squamous cell carcinoma treated with immunotherapy,” </w:t>
        </w:r>
      </w:hyperlink>
      <w:hyperlink r:id="rId15">
        <w:r w:rsidDel="00000000" w:rsidR="00000000" w:rsidRPr="00000000">
          <w:rPr>
            <w:i w:val="1"/>
            <w:iCs w:val="1"/>
            <w:shd w:fill="auto" w:val="clear"/>
            <w:vertAlign w:val="baseline"/>
            <w:rtl w:val="0"/>
          </w:rPr>
          <w:t xml:space="preserve">CPT Pharmacomet. Syst. Pharmacol.</w:t>
        </w:r>
      </w:hyperlink>
      <w:hyperlink r:id="rId16">
        <w:r w:rsidDel="00000000" w:rsidR="00000000" w:rsidRPr="00000000">
          <w:rPr>
            <w:shd w:fill="auto" w:val="clear"/>
            <w:vertAlign w:val="baseline"/>
            <w:rtl w:val="0"/>
          </w:rPr>
          <w:t xml:space="preserve">, vol. 10, no. 3, pp. 230–240, Mar. 2021, doi: 10.1002/psp4.12594.</w:t>
        </w:r>
      </w:hyperlink>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7">
        <w:r w:rsidDel="00000000" w:rsidR="00000000" w:rsidRPr="00000000">
          <w:rPr>
            <w:shd w:fill="auto" w:val="clear"/>
            <w:vertAlign w:val="baseline"/>
            <w:rtl w:val="0"/>
          </w:rPr>
          <w:t xml:space="preserve">[2]</w:t>
          <w:tab/>
          <w:t xml:space="preserve">P. L. Bonate and A. B. Suttle, “Modeling tumor growth kinetics after treatment with pazopanib or placebo in patients with renal cell carcinoma,” </w:t>
        </w:r>
      </w:hyperlink>
      <w:hyperlink r:id="rId18">
        <w:r w:rsidDel="00000000" w:rsidR="00000000" w:rsidRPr="00000000">
          <w:rPr>
            <w:i w:val="1"/>
            <w:iCs w:val="1"/>
            <w:shd w:fill="auto" w:val="clear"/>
            <w:vertAlign w:val="baseline"/>
            <w:rtl w:val="0"/>
          </w:rPr>
          <w:t xml:space="preserve">Cancer Chemother. Pharmacol.</w:t>
        </w:r>
      </w:hyperlink>
      <w:hyperlink r:id="rId19">
        <w:r w:rsidDel="00000000" w:rsidR="00000000" w:rsidRPr="00000000">
          <w:rPr>
            <w:shd w:fill="auto" w:val="clear"/>
            <w:vertAlign w:val="baseline"/>
            <w:rtl w:val="0"/>
          </w:rPr>
          <w:t xml:space="preserve">, vol. 72, no. 1, pp. 231–240, Jul. 2013, doi: 10.1007/s00280-013-2191-0.</w:t>
        </w:r>
      </w:hyperlink>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20">
        <w:r w:rsidDel="00000000" w:rsidR="00000000" w:rsidRPr="00000000">
          <w:rPr>
            <w:shd w:fill="auto" w:val="clear"/>
            <w:vertAlign w:val="baseline"/>
            <w:rtl w:val="0"/>
          </w:rPr>
          <w:t xml:space="preserve">[3]</w:t>
          <w:tab/>
          <w:t xml:space="preserve">L. Claret </w:t>
        </w:r>
      </w:hyperlink>
      <w:hyperlink r:id="rId21">
        <w:r w:rsidDel="00000000" w:rsidR="00000000" w:rsidRPr="00000000">
          <w:rPr>
            <w:i w:val="1"/>
            <w:iCs w:val="1"/>
            <w:shd w:fill="auto" w:val="clear"/>
            <w:vertAlign w:val="baseline"/>
            <w:rtl w:val="0"/>
          </w:rPr>
          <w:t xml:space="preserve">et al.</w:t>
        </w:r>
      </w:hyperlink>
      <w:hyperlink r:id="rId22">
        <w:r w:rsidDel="00000000" w:rsidR="00000000" w:rsidRPr="00000000">
          <w:rPr>
            <w:shd w:fill="auto" w:val="clear"/>
            <w:vertAlign w:val="baseline"/>
            <w:rtl w:val="0"/>
          </w:rPr>
          <w:t xml:space="preserve">, “Model-based prediction of phase III overall survival in colorectal cancer on the basis of phase II tumor dynamics,” </w:t>
        </w:r>
      </w:hyperlink>
      <w:hyperlink r:id="rId23">
        <w:r w:rsidDel="00000000" w:rsidR="00000000" w:rsidRPr="00000000">
          <w:rPr>
            <w:i w:val="1"/>
            <w:iCs w:val="1"/>
            <w:shd w:fill="auto" w:val="clear"/>
            <w:vertAlign w:val="baseline"/>
            <w:rtl w:val="0"/>
          </w:rPr>
          <w:t xml:space="preserve">J. Clin. Oncol. Off. J. Am. Soc. Clin. Oncol.</w:t>
        </w:r>
      </w:hyperlink>
      <w:hyperlink r:id="rId24">
        <w:r w:rsidDel="00000000" w:rsidR="00000000" w:rsidRPr="00000000">
          <w:rPr>
            <w:shd w:fill="auto" w:val="clear"/>
            <w:vertAlign w:val="baseline"/>
            <w:rtl w:val="0"/>
          </w:rPr>
          <w:t xml:space="preserve">, vol. 27, no. 25, pp. 4103–4108, Sep. 2009, doi: 10.1200/JCO.2008.21.0807.</w:t>
        </w:r>
      </w:hyperlink>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25">
        <w:r w:rsidDel="00000000" w:rsidR="00000000" w:rsidRPr="00000000">
          <w:rPr>
            <w:shd w:fill="auto" w:val="clear"/>
            <w:vertAlign w:val="baseline"/>
            <w:rtl w:val="0"/>
          </w:rPr>
          <w:t xml:space="preserve">[4]</w:t>
          <w:tab/>
          <w:t xml:space="preserve">W. D. Stein </w:t>
        </w:r>
      </w:hyperlink>
      <w:hyperlink r:id="rId26">
        <w:r w:rsidDel="00000000" w:rsidR="00000000" w:rsidRPr="00000000">
          <w:rPr>
            <w:i w:val="1"/>
            <w:iCs w:val="1"/>
            <w:shd w:fill="auto" w:val="clear"/>
            <w:vertAlign w:val="baseline"/>
            <w:rtl w:val="0"/>
          </w:rPr>
          <w:t xml:space="preserve">et al.</w:t>
        </w:r>
      </w:hyperlink>
      <w:hyperlink r:id="rId27">
        <w:r w:rsidDel="00000000" w:rsidR="00000000" w:rsidRPr="00000000">
          <w:rPr>
            <w:shd w:fill="auto" w:val="clear"/>
            <w:vertAlign w:val="baseline"/>
            <w:rtl w:val="0"/>
          </w:rPr>
          <w:t xml:space="preserve">, “Tumor Regression and Growth Rates Determined in Five Intramural NCI Prostate Cancer Trials: The Growth Rate Constant as an Indicator of Therapeutic Efficacy,” </w:t>
        </w:r>
      </w:hyperlink>
      <w:hyperlink r:id="rId28">
        <w:r w:rsidDel="00000000" w:rsidR="00000000" w:rsidRPr="00000000">
          <w:rPr>
            <w:i w:val="1"/>
            <w:iCs w:val="1"/>
            <w:shd w:fill="auto" w:val="clear"/>
            <w:vertAlign w:val="baseline"/>
            <w:rtl w:val="0"/>
          </w:rPr>
          <w:t xml:space="preserve">Clin. Cancer Res.</w:t>
        </w:r>
      </w:hyperlink>
      <w:hyperlink r:id="rId29">
        <w:r w:rsidDel="00000000" w:rsidR="00000000" w:rsidRPr="00000000">
          <w:rPr>
            <w:shd w:fill="auto" w:val="clear"/>
            <w:vertAlign w:val="baseline"/>
            <w:rtl w:val="0"/>
          </w:rPr>
          <w:t xml:space="preserve">, vol. 17, no. 4, pp. 907–917, Feb. 2011, doi: 10.1158/1078-0432.CCR-10-1762.</w:t>
        </w:r>
      </w:hyperlink>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30">
        <w:r w:rsidDel="00000000" w:rsidR="00000000" w:rsidRPr="00000000">
          <w:rPr>
            <w:shd w:fill="auto" w:val="clear"/>
            <w:vertAlign w:val="baseline"/>
            <w:rtl w:val="0"/>
          </w:rPr>
          <w:t xml:space="preserve">[5]</w:t>
          <w:tab/>
          <w:t xml:space="preserve">Y. Wang </w:t>
        </w:r>
      </w:hyperlink>
      <w:hyperlink r:id="rId31">
        <w:r w:rsidDel="00000000" w:rsidR="00000000" w:rsidRPr="00000000">
          <w:rPr>
            <w:i w:val="1"/>
            <w:iCs w:val="1"/>
            <w:shd w:fill="auto" w:val="clear"/>
            <w:vertAlign w:val="baseline"/>
            <w:rtl w:val="0"/>
          </w:rPr>
          <w:t xml:space="preserve">et al.</w:t>
        </w:r>
      </w:hyperlink>
      <w:hyperlink r:id="rId32">
        <w:r w:rsidDel="00000000" w:rsidR="00000000" w:rsidRPr="00000000">
          <w:rPr>
            <w:shd w:fill="auto" w:val="clear"/>
            <w:vertAlign w:val="baseline"/>
            <w:rtl w:val="0"/>
          </w:rPr>
          <w:t xml:space="preserve">, “Elucidation of Relationship Between Tumor Size and Survival in Non-Small-Cell Lung Cancer Patients Can Aid Early Decision Making in Clinical Drug Development,” </w:t>
        </w:r>
      </w:hyperlink>
      <w:hyperlink r:id="rId33">
        <w:r w:rsidDel="00000000" w:rsidR="00000000" w:rsidRPr="00000000">
          <w:rPr>
            <w:i w:val="1"/>
            <w:iCs w:val="1"/>
            <w:shd w:fill="auto" w:val="clear"/>
            <w:vertAlign w:val="baseline"/>
            <w:rtl w:val="0"/>
          </w:rPr>
          <w:t xml:space="preserve">Clin. Pharmacol. Ther.</w:t>
        </w:r>
      </w:hyperlink>
      <w:hyperlink r:id="rId34">
        <w:r w:rsidDel="00000000" w:rsidR="00000000" w:rsidRPr="00000000">
          <w:rPr>
            <w:shd w:fill="auto" w:val="clear"/>
            <w:vertAlign w:val="baseline"/>
            <w:rtl w:val="0"/>
          </w:rPr>
          <w:t xml:space="preserve">, vol. 86, no. 2, pp. 167–174, Aug. 2009, doi: 10.1038/clpt.2009.64.</w:t>
        </w:r>
      </w:hyperlink>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r w:rsidDel="00000000" w:rsidR="00000000" w:rsidRPr="00000000">
        <w:rPr>
          <w:rtl w:val="0"/>
        </w:rPr>
        <w:t xml:space="preserve">[6]  Laurie, M., &amp; Lu, J., Explainable deep learning for tumor dynamic modeling and overall survival prediction using Neural-ODE. </w:t>
      </w:r>
      <w:r w:rsidDel="00000000" w:rsidR="00000000" w:rsidRPr="00000000">
        <w:rPr>
          <w:i w:val="1"/>
          <w:iCs w:val="1"/>
          <w:rtl w:val="0"/>
        </w:rPr>
        <w:t xml:space="preserve">npj Systems Biology and Applications</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(1), 58, 2023. </w:t>
      </w:r>
      <w:r w:rsidDel="00000000" w:rsidR="00000000" w:rsidRPr="00000000">
        <w:rPr>
          <w:rtl w:val="0"/>
        </w:rPr>
      </w:r>
    </w:p>
    <w:sectPr>
      <w:headerReference r:id="rId35" w:type="default"/>
      <w:footerReference r:id="rId36" w:type="default"/>
      <w:footerReference r:id="rId3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3">
    <w:pPr>
      <w:rPr>
        <w:b w:val="1"/>
        <w:bCs w:val="1"/>
      </w:rPr>
    </w:pPr>
    <w:r w:rsidDel="00000000" w:rsidR="00000000" w:rsidRPr="00000000">
      <w:rPr>
        <w:rtl w:val="0"/>
      </w:rPr>
    </w:r>
  </w:p>
  <w:p w:rsidR="00000000" w:rsidDel="00000000" w:rsidP="00000000" w:rsidRDefault="00000000" w:rsidRPr="00000000" w14:paraId="000005C4">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s7E4Np" TargetMode="External"/><Relationship Id="rId22" Type="http://schemas.openxmlformats.org/officeDocument/2006/relationships/hyperlink" Target="https://www.zotero.org/google-docs/?s7E4Np" TargetMode="External"/><Relationship Id="rId21" Type="http://schemas.openxmlformats.org/officeDocument/2006/relationships/hyperlink" Target="https://www.zotero.org/google-docs/?s7E4Np" TargetMode="External"/><Relationship Id="rId24" Type="http://schemas.openxmlformats.org/officeDocument/2006/relationships/hyperlink" Target="https://www.zotero.org/google-docs/?s7E4Np" TargetMode="External"/><Relationship Id="rId23" Type="http://schemas.openxmlformats.org/officeDocument/2006/relationships/hyperlink" Target="https://www.zotero.org/google-docs/?s7E4N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wHOQki" TargetMode="External"/><Relationship Id="rId26" Type="http://schemas.openxmlformats.org/officeDocument/2006/relationships/hyperlink" Target="https://www.zotero.org/google-docs/?s7E4Np" TargetMode="External"/><Relationship Id="rId25" Type="http://schemas.openxmlformats.org/officeDocument/2006/relationships/hyperlink" Target="https://www.zotero.org/google-docs/?s7E4Np" TargetMode="External"/><Relationship Id="rId28" Type="http://schemas.openxmlformats.org/officeDocument/2006/relationships/hyperlink" Target="https://www.zotero.org/google-docs/?s7E4Np" TargetMode="External"/><Relationship Id="rId27" Type="http://schemas.openxmlformats.org/officeDocument/2006/relationships/hyperlink" Target="https://www.zotero.org/google-docs/?s7E4Np"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zotero.org/google-docs/?s7E4Np" TargetMode="External"/><Relationship Id="rId7" Type="http://schemas.openxmlformats.org/officeDocument/2006/relationships/image" Target="media/image3.png"/><Relationship Id="rId8" Type="http://schemas.openxmlformats.org/officeDocument/2006/relationships/hyperlink" Target="https://www.zotero.org/google-docs/?GUWnxL" TargetMode="External"/><Relationship Id="rId31" Type="http://schemas.openxmlformats.org/officeDocument/2006/relationships/hyperlink" Target="https://www.zotero.org/google-docs/?s7E4Np" TargetMode="External"/><Relationship Id="rId30" Type="http://schemas.openxmlformats.org/officeDocument/2006/relationships/hyperlink" Target="https://www.zotero.org/google-docs/?s7E4Np" TargetMode="External"/><Relationship Id="rId11" Type="http://schemas.openxmlformats.org/officeDocument/2006/relationships/image" Target="media/image2.png"/><Relationship Id="rId33" Type="http://schemas.openxmlformats.org/officeDocument/2006/relationships/hyperlink" Target="https://www.zotero.org/google-docs/?s7E4Np" TargetMode="External"/><Relationship Id="rId10" Type="http://schemas.openxmlformats.org/officeDocument/2006/relationships/image" Target="media/image1.png"/><Relationship Id="rId32" Type="http://schemas.openxmlformats.org/officeDocument/2006/relationships/hyperlink" Target="https://www.zotero.org/google-docs/?s7E4Np" TargetMode="External"/><Relationship Id="rId13" Type="http://schemas.openxmlformats.org/officeDocument/2006/relationships/hyperlink" Target="https://www.zotero.org/google-docs/?s7E4Np" TargetMode="External"/><Relationship Id="rId35" Type="http://schemas.openxmlformats.org/officeDocument/2006/relationships/header" Target="header1.xml"/><Relationship Id="rId12" Type="http://schemas.openxmlformats.org/officeDocument/2006/relationships/hyperlink" Target="https://www.zotero.org/google-docs/?s7E4Np" TargetMode="External"/><Relationship Id="rId34" Type="http://schemas.openxmlformats.org/officeDocument/2006/relationships/hyperlink" Target="https://www.zotero.org/google-docs/?s7E4Np" TargetMode="External"/><Relationship Id="rId15" Type="http://schemas.openxmlformats.org/officeDocument/2006/relationships/hyperlink" Target="https://www.zotero.org/google-docs/?s7E4Np" TargetMode="External"/><Relationship Id="rId37" Type="http://schemas.openxmlformats.org/officeDocument/2006/relationships/footer" Target="footer1.xml"/><Relationship Id="rId14" Type="http://schemas.openxmlformats.org/officeDocument/2006/relationships/hyperlink" Target="https://www.zotero.org/google-docs/?s7E4Np" TargetMode="External"/><Relationship Id="rId36" Type="http://schemas.openxmlformats.org/officeDocument/2006/relationships/footer" Target="footer2.xml"/><Relationship Id="rId17" Type="http://schemas.openxmlformats.org/officeDocument/2006/relationships/hyperlink" Target="https://www.zotero.org/google-docs/?s7E4Np" TargetMode="External"/><Relationship Id="rId16" Type="http://schemas.openxmlformats.org/officeDocument/2006/relationships/hyperlink" Target="https://www.zotero.org/google-docs/?s7E4Np" TargetMode="External"/><Relationship Id="rId19" Type="http://schemas.openxmlformats.org/officeDocument/2006/relationships/hyperlink" Target="https://www.zotero.org/google-docs/?s7E4Np" TargetMode="External"/><Relationship Id="rId18" Type="http://schemas.openxmlformats.org/officeDocument/2006/relationships/hyperlink" Target="https://www.zotero.org/google-docs/?s7E4N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CambriaMath-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