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1AB96" w14:textId="77777777" w:rsidR="00AD7F64" w:rsidRDefault="00AD7F64" w:rsidP="00AD7F64">
      <w:pPr>
        <w:pStyle w:val="a"/>
        <w:spacing w:before="156" w:after="156" w:line="240" w:lineRule="auto"/>
        <w:ind w:firstLineChars="0" w:firstLine="0"/>
        <w:jc w:val="left"/>
        <w:rPr>
          <w:b/>
          <w:bCs/>
          <w:shd w:val="pct15" w:color="auto" w:fill="FFFFFF"/>
        </w:rPr>
      </w:pPr>
      <w:r w:rsidRPr="00AD7F64">
        <w:rPr>
          <w:b/>
          <w:bCs/>
          <w:shd w:val="pct15" w:color="auto" w:fill="FFFFFF"/>
        </w:rPr>
        <w:t>Supplementary</w:t>
      </w:r>
    </w:p>
    <w:p w14:paraId="31581A13" w14:textId="77777777" w:rsidR="003A72F0" w:rsidRDefault="003A72F0" w:rsidP="003A72F0">
      <w:pPr>
        <w:pStyle w:val="a"/>
        <w:spacing w:before="156" w:after="156" w:line="240" w:lineRule="auto"/>
        <w:ind w:firstLine="504"/>
        <w:rPr>
          <w:b/>
          <w:bCs/>
          <w:shd w:val="pct15" w:color="auto" w:fill="FFFFFF"/>
        </w:rPr>
      </w:pPr>
    </w:p>
    <w:p w14:paraId="479EC5BB" w14:textId="58A44782" w:rsidR="003A72F0" w:rsidRPr="003A72F0" w:rsidRDefault="003A72F0" w:rsidP="003A72F0">
      <w:pPr>
        <w:pStyle w:val="a"/>
        <w:spacing w:before="156" w:after="156" w:line="240" w:lineRule="auto"/>
        <w:ind w:firstLine="504"/>
        <w:rPr>
          <w:b/>
          <w:bCs/>
          <w:shd w:val="pct15" w:color="auto" w:fill="FFFFFF"/>
        </w:rPr>
      </w:pPr>
      <w:r w:rsidRPr="003A72F0">
        <w:rPr>
          <w:b/>
          <w:bCs/>
          <w:shd w:val="pct15" w:color="auto" w:fill="FFFFFF"/>
        </w:rPr>
        <w:t>List of Tables and Figures</w:t>
      </w:r>
    </w:p>
    <w:p w14:paraId="31147891" w14:textId="77777777" w:rsidR="003A72F0" w:rsidRPr="003A72F0" w:rsidRDefault="003A72F0" w:rsidP="003A72F0">
      <w:pPr>
        <w:pStyle w:val="a"/>
        <w:spacing w:before="156" w:after="156" w:line="240" w:lineRule="auto"/>
        <w:ind w:firstLineChars="0" w:firstLine="0"/>
        <w:rPr>
          <w:b/>
          <w:bCs/>
          <w:shd w:val="pct15" w:color="auto" w:fill="FFFFFF"/>
        </w:rPr>
      </w:pPr>
      <w:r w:rsidRPr="003A72F0">
        <w:rPr>
          <w:b/>
          <w:bCs/>
          <w:shd w:val="pct15" w:color="auto" w:fill="FFFFFF"/>
        </w:rPr>
        <w:t>Tables</w:t>
      </w:r>
    </w:p>
    <w:p w14:paraId="79622026" w14:textId="77777777" w:rsidR="003A72F0" w:rsidRPr="003A72F0" w:rsidRDefault="003A72F0" w:rsidP="003A72F0">
      <w:pPr>
        <w:pStyle w:val="a"/>
        <w:spacing w:before="156" w:after="156" w:line="240" w:lineRule="auto"/>
        <w:ind w:left="503" w:hangingChars="200" w:hanging="503"/>
        <w:rPr>
          <w:shd w:val="pct15" w:color="auto" w:fill="FFFFFF"/>
        </w:rPr>
      </w:pPr>
      <w:r w:rsidRPr="003A72F0">
        <w:rPr>
          <w:shd w:val="pct15" w:color="auto" w:fill="FFFFFF"/>
        </w:rPr>
        <w:t>Table S1. Summary of clinical trials included in the population pharmacokinetic analysis of serplulimab.</w:t>
      </w:r>
    </w:p>
    <w:p w14:paraId="44784AF7" w14:textId="77777777" w:rsidR="003A72F0" w:rsidRPr="003A72F0" w:rsidRDefault="003A72F0" w:rsidP="003A72F0">
      <w:pPr>
        <w:pStyle w:val="a"/>
        <w:spacing w:before="156" w:after="156" w:line="240" w:lineRule="auto"/>
        <w:ind w:left="504" w:hangingChars="200" w:hanging="504"/>
        <w:rPr>
          <w:b/>
          <w:bCs/>
          <w:shd w:val="pct15" w:color="auto" w:fill="FFFFFF"/>
        </w:rPr>
      </w:pPr>
    </w:p>
    <w:p w14:paraId="55E0B4A1" w14:textId="77777777" w:rsidR="003A72F0" w:rsidRPr="003A72F0" w:rsidRDefault="003A72F0" w:rsidP="003A72F0">
      <w:pPr>
        <w:pStyle w:val="a"/>
        <w:spacing w:before="156" w:after="156" w:line="240" w:lineRule="auto"/>
        <w:ind w:left="504" w:hangingChars="200" w:hanging="504"/>
        <w:rPr>
          <w:b/>
          <w:bCs/>
          <w:shd w:val="pct15" w:color="auto" w:fill="FFFFFF"/>
        </w:rPr>
      </w:pPr>
      <w:r w:rsidRPr="003A72F0">
        <w:rPr>
          <w:b/>
          <w:bCs/>
          <w:shd w:val="pct15" w:color="auto" w:fill="FFFFFF"/>
        </w:rPr>
        <w:t>Figures</w:t>
      </w:r>
    </w:p>
    <w:p w14:paraId="287E6898" w14:textId="77777777" w:rsidR="003A72F0" w:rsidRPr="003A72F0" w:rsidRDefault="003A72F0" w:rsidP="003A72F0">
      <w:pPr>
        <w:pStyle w:val="a"/>
        <w:spacing w:before="156" w:after="156" w:line="240" w:lineRule="auto"/>
        <w:ind w:left="503" w:hangingChars="200" w:hanging="503"/>
        <w:rPr>
          <w:shd w:val="pct15" w:color="auto" w:fill="FFFFFF"/>
        </w:rPr>
      </w:pPr>
      <w:r w:rsidRPr="003A72F0">
        <w:rPr>
          <w:shd w:val="pct15" w:color="auto" w:fill="FFFFFF"/>
        </w:rPr>
        <w:t>Figure S1. Diagnostic plots for the final population pharmacokinetic (PopPK) model of serplulimab.</w:t>
      </w:r>
    </w:p>
    <w:p w14:paraId="147F5C79" w14:textId="77777777" w:rsidR="003A72F0" w:rsidRPr="003A72F0" w:rsidRDefault="003A72F0" w:rsidP="003A72F0">
      <w:pPr>
        <w:pStyle w:val="a"/>
        <w:spacing w:before="156" w:after="156" w:line="240" w:lineRule="auto"/>
        <w:ind w:left="503" w:hangingChars="200" w:hanging="503"/>
        <w:rPr>
          <w:shd w:val="pct15" w:color="auto" w:fill="FFFFFF"/>
        </w:rPr>
      </w:pPr>
      <w:r w:rsidRPr="003A72F0">
        <w:rPr>
          <w:shd w:val="pct15" w:color="auto" w:fill="FFFFFF"/>
        </w:rPr>
        <w:t>Figure S2. Prediction-corrected visual predictive check (</w:t>
      </w:r>
      <w:proofErr w:type="spellStart"/>
      <w:r w:rsidRPr="003A72F0">
        <w:rPr>
          <w:shd w:val="pct15" w:color="auto" w:fill="FFFFFF"/>
        </w:rPr>
        <w:t>pcVPC</w:t>
      </w:r>
      <w:proofErr w:type="spellEnd"/>
      <w:r w:rsidRPr="003A72F0">
        <w:rPr>
          <w:shd w:val="pct15" w:color="auto" w:fill="FFFFFF"/>
        </w:rPr>
        <w:t>) for the overall population.</w:t>
      </w:r>
    </w:p>
    <w:p w14:paraId="750B4BD8" w14:textId="5A549BD8" w:rsidR="003A72F0" w:rsidRPr="003A72F0" w:rsidRDefault="003A72F0" w:rsidP="003A72F0">
      <w:pPr>
        <w:pStyle w:val="a"/>
        <w:spacing w:before="156" w:after="156" w:line="240" w:lineRule="auto"/>
        <w:ind w:left="503" w:hangingChars="200" w:hanging="503"/>
        <w:rPr>
          <w:shd w:val="pct15" w:color="auto" w:fill="FFFFFF"/>
        </w:rPr>
      </w:pPr>
      <w:r w:rsidRPr="003A72F0">
        <w:rPr>
          <w:shd w:val="pct15" w:color="auto" w:fill="FFFFFF"/>
        </w:rPr>
        <w:t>Figure S3. Sensitivity analysis of the influence of significant covariates on first-dose exposure metrics (C</w:t>
      </w:r>
      <w:r w:rsidRPr="003A72F0">
        <w:rPr>
          <w:shd w:val="pct15" w:color="auto" w:fill="FFFFFF"/>
          <w:vertAlign w:val="subscript"/>
        </w:rPr>
        <w:t>avg1</w:t>
      </w:r>
      <w:r w:rsidRPr="003A72F0">
        <w:rPr>
          <w:shd w:val="pct15" w:color="auto" w:fill="FFFFFF"/>
        </w:rPr>
        <w:t>, C</w:t>
      </w:r>
      <w:r w:rsidRPr="003A72F0">
        <w:rPr>
          <w:shd w:val="pct15" w:color="auto" w:fill="FFFFFF"/>
          <w:vertAlign w:val="subscript"/>
        </w:rPr>
        <w:t>max1</w:t>
      </w:r>
      <w:r w:rsidRPr="003A72F0">
        <w:rPr>
          <w:shd w:val="pct15" w:color="auto" w:fill="FFFFFF"/>
        </w:rPr>
        <w:t>, and C</w:t>
      </w:r>
      <w:r w:rsidRPr="003A72F0">
        <w:rPr>
          <w:shd w:val="pct15" w:color="auto" w:fill="FFFFFF"/>
          <w:vertAlign w:val="subscript"/>
        </w:rPr>
        <w:t>min1</w:t>
      </w:r>
      <w:r w:rsidRPr="003A72F0">
        <w:rPr>
          <w:shd w:val="pct15" w:color="auto" w:fill="FFFFFF"/>
        </w:rPr>
        <w:t>).</w:t>
      </w:r>
    </w:p>
    <w:p w14:paraId="4D699F05" w14:textId="77777777" w:rsidR="003A72F0" w:rsidRPr="003A72F0" w:rsidRDefault="003A72F0" w:rsidP="003A72F0">
      <w:pPr>
        <w:pStyle w:val="a"/>
        <w:spacing w:before="156" w:after="156" w:line="240" w:lineRule="auto"/>
        <w:ind w:left="503" w:hangingChars="200" w:hanging="503"/>
        <w:rPr>
          <w:shd w:val="pct15" w:color="auto" w:fill="FFFFFF"/>
        </w:rPr>
      </w:pPr>
      <w:r w:rsidRPr="003A72F0">
        <w:rPr>
          <w:shd w:val="pct15" w:color="auto" w:fill="FFFFFF"/>
        </w:rPr>
        <w:t>Figure S4. Comparison of steady-state exposure by baseline body-weight quartiles for flat-dose versus weight-based regimens.</w:t>
      </w:r>
    </w:p>
    <w:p w14:paraId="3867AF2D" w14:textId="341D0FD7" w:rsidR="003A72F0" w:rsidRPr="003A72F0" w:rsidRDefault="003A72F0" w:rsidP="003A72F0">
      <w:pPr>
        <w:pStyle w:val="a"/>
        <w:spacing w:before="156" w:after="156" w:line="240" w:lineRule="auto"/>
        <w:ind w:left="503" w:hangingChars="200" w:hanging="503"/>
        <w:jc w:val="left"/>
        <w:rPr>
          <w:shd w:val="pct15" w:color="auto" w:fill="FFFFFF"/>
        </w:rPr>
      </w:pPr>
      <w:r w:rsidRPr="003A72F0">
        <w:rPr>
          <w:shd w:val="pct15" w:color="auto" w:fill="FFFFFF"/>
        </w:rPr>
        <w:t>Figure S5. Predicted probability of adverse events derived from exposure–response logistic regression models using C</w:t>
      </w:r>
      <w:r w:rsidRPr="003A72F0">
        <w:rPr>
          <w:shd w:val="pct15" w:color="auto" w:fill="FFFFFF"/>
          <w:vertAlign w:val="subscript"/>
        </w:rPr>
        <w:t>max1</w:t>
      </w:r>
      <w:r>
        <w:rPr>
          <w:rFonts w:hint="eastAsia"/>
          <w:shd w:val="pct15" w:color="auto" w:fill="FFFFFF"/>
        </w:rPr>
        <w:t xml:space="preserve"> </w:t>
      </w:r>
      <w:r w:rsidRPr="003A72F0">
        <w:rPr>
          <w:shd w:val="pct15" w:color="auto" w:fill="FFFFFF"/>
        </w:rPr>
        <w:t>as the exposure metric.</w:t>
      </w:r>
    </w:p>
    <w:p w14:paraId="4792070E" w14:textId="77777777" w:rsidR="003A72F0" w:rsidRDefault="003A72F0" w:rsidP="00AD7F64">
      <w:pPr>
        <w:pStyle w:val="a"/>
        <w:spacing w:before="156" w:after="156" w:line="240" w:lineRule="auto"/>
        <w:ind w:firstLineChars="0" w:firstLine="0"/>
        <w:jc w:val="left"/>
        <w:rPr>
          <w:b/>
          <w:bCs/>
          <w:shd w:val="pct15" w:color="auto" w:fill="FFFFFF"/>
        </w:rPr>
      </w:pPr>
    </w:p>
    <w:p w14:paraId="62037744" w14:textId="77777777" w:rsidR="003A72F0" w:rsidRPr="00AD7F64" w:rsidRDefault="003A72F0" w:rsidP="00AD7F64">
      <w:pPr>
        <w:pStyle w:val="a"/>
        <w:spacing w:before="156" w:after="156" w:line="240" w:lineRule="auto"/>
        <w:ind w:firstLineChars="0" w:firstLine="0"/>
        <w:jc w:val="left"/>
        <w:rPr>
          <w:b/>
          <w:bCs/>
          <w:shd w:val="pct15" w:color="auto" w:fill="FFFFFF"/>
        </w:rPr>
      </w:pPr>
    </w:p>
    <w:p w14:paraId="0D8A2120" w14:textId="77777777" w:rsidR="003A72F0" w:rsidRDefault="003A72F0">
      <w:pPr>
        <w:widowControl/>
        <w:rPr>
          <w:rFonts w:ascii="Times New Roman" w:eastAsia="宋体" w:hAnsi="Times New Roman" w:cs="Times New Roman"/>
          <w:b/>
          <w:color w:val="000000" w:themeColor="text1"/>
          <w:w w:val="105"/>
          <w:kern w:val="24"/>
          <w:sz w:val="24"/>
          <w:szCs w:val="21"/>
          <w14:ligatures w14:val="none"/>
        </w:rPr>
      </w:pPr>
      <w:r>
        <w:br w:type="page"/>
      </w:r>
    </w:p>
    <w:p w14:paraId="1DD0688B" w14:textId="14B8B87C" w:rsidR="00AD7F64" w:rsidRPr="00AD7F64" w:rsidRDefault="00AD7F64" w:rsidP="00AD7F64">
      <w:pPr>
        <w:pStyle w:val="a7"/>
        <w:spacing w:before="156" w:after="156" w:line="240" w:lineRule="auto"/>
        <w:rPr>
          <w:bCs/>
        </w:rPr>
      </w:pPr>
      <w:r w:rsidRPr="00AD7F64">
        <w:lastRenderedPageBreak/>
        <w:t>Table S</w:t>
      </w:r>
      <w:r w:rsidRPr="00AD7F64">
        <w:fldChar w:fldCharType="begin"/>
      </w:r>
      <w:r w:rsidRPr="00AD7F64">
        <w:instrText xml:space="preserve"> SEQ </w:instrText>
      </w:r>
      <w:r w:rsidRPr="00AD7F64">
        <w:instrText>表</w:instrText>
      </w:r>
      <w:r w:rsidRPr="00AD7F64">
        <w:instrText xml:space="preserve"> \* ARABIC </w:instrText>
      </w:r>
      <w:r w:rsidRPr="00AD7F64">
        <w:fldChar w:fldCharType="separate"/>
      </w:r>
      <w:r w:rsidRPr="00AD7F64">
        <w:rPr>
          <w:noProof/>
        </w:rPr>
        <w:t>1</w:t>
      </w:r>
      <w:r w:rsidRPr="00AD7F64">
        <w:fldChar w:fldCharType="end"/>
      </w:r>
      <w:r w:rsidRPr="00AD7F64">
        <w:t xml:space="preserve">. </w:t>
      </w:r>
      <w:r w:rsidRPr="00AD7F64">
        <w:rPr>
          <w:bCs/>
        </w:rPr>
        <w:t>Summary of clinical trials in the population pharmacokinetic analysis</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1423"/>
        <w:gridCol w:w="2121"/>
        <w:gridCol w:w="987"/>
        <w:gridCol w:w="856"/>
        <w:gridCol w:w="2311"/>
        <w:gridCol w:w="608"/>
      </w:tblGrid>
      <w:tr w:rsidR="00AD7F64" w:rsidRPr="00AD7F64" w14:paraId="1C960358" w14:textId="77777777" w:rsidTr="0066657A">
        <w:trPr>
          <w:trHeight w:val="946"/>
        </w:trPr>
        <w:tc>
          <w:tcPr>
            <w:tcW w:w="857" w:type="pct"/>
            <w:vAlign w:val="center"/>
          </w:tcPr>
          <w:p w14:paraId="5F47682C" w14:textId="77777777" w:rsidR="00AD7F64" w:rsidRPr="00AD7F64" w:rsidRDefault="00AD7F64" w:rsidP="00AD7F64">
            <w:pPr>
              <w:pStyle w:val="a7"/>
              <w:spacing w:beforeLines="0" w:before="0" w:afterLines="0" w:after="0" w:line="240" w:lineRule="auto"/>
              <w:rPr>
                <w:bCs/>
                <w:sz w:val="16"/>
                <w:szCs w:val="16"/>
              </w:rPr>
            </w:pPr>
            <w:r w:rsidRPr="00AD7F64">
              <w:rPr>
                <w:bCs/>
                <w:sz w:val="16"/>
                <w:szCs w:val="16"/>
              </w:rPr>
              <w:t>Study number (Clinical Trial ID)</w:t>
            </w:r>
          </w:p>
        </w:tc>
        <w:tc>
          <w:tcPr>
            <w:tcW w:w="1277" w:type="pct"/>
            <w:vAlign w:val="center"/>
          </w:tcPr>
          <w:p w14:paraId="51744B5B" w14:textId="77777777" w:rsidR="00AD7F64" w:rsidRPr="00AD7F64" w:rsidRDefault="00AD7F64" w:rsidP="00AD7F64">
            <w:pPr>
              <w:pStyle w:val="a7"/>
              <w:spacing w:beforeLines="0" w:before="0" w:afterLines="0" w:after="0" w:line="240" w:lineRule="auto"/>
              <w:rPr>
                <w:bCs/>
                <w:sz w:val="16"/>
                <w:szCs w:val="16"/>
              </w:rPr>
            </w:pPr>
            <w:r w:rsidRPr="00AD7F64">
              <w:rPr>
                <w:bCs/>
                <w:sz w:val="16"/>
                <w:szCs w:val="16"/>
              </w:rPr>
              <w:t>Study description</w:t>
            </w:r>
          </w:p>
        </w:tc>
        <w:tc>
          <w:tcPr>
            <w:tcW w:w="594" w:type="pct"/>
            <w:vAlign w:val="center"/>
          </w:tcPr>
          <w:p w14:paraId="757BC70F" w14:textId="77777777" w:rsidR="00AD7F64" w:rsidRPr="00AD7F64" w:rsidRDefault="00AD7F64" w:rsidP="00AD7F64">
            <w:pPr>
              <w:pStyle w:val="a7"/>
              <w:spacing w:beforeLines="0" w:before="0" w:afterLines="0" w:after="0" w:line="240" w:lineRule="auto"/>
              <w:rPr>
                <w:bCs/>
                <w:sz w:val="16"/>
                <w:szCs w:val="16"/>
              </w:rPr>
            </w:pPr>
            <w:r w:rsidRPr="00AD7F64">
              <w:rPr>
                <w:bCs/>
                <w:sz w:val="16"/>
                <w:szCs w:val="16"/>
              </w:rPr>
              <w:t>Dose regimen</w:t>
            </w:r>
          </w:p>
        </w:tc>
        <w:tc>
          <w:tcPr>
            <w:tcW w:w="515" w:type="pct"/>
            <w:vAlign w:val="center"/>
          </w:tcPr>
          <w:p w14:paraId="289084F5" w14:textId="77777777" w:rsidR="00AD7F64" w:rsidRPr="00AD7F64" w:rsidRDefault="00AD7F64" w:rsidP="00AD7F64">
            <w:pPr>
              <w:pStyle w:val="a7"/>
              <w:spacing w:beforeLines="0" w:before="0" w:afterLines="0" w:after="0" w:line="240" w:lineRule="auto"/>
              <w:rPr>
                <w:bCs/>
                <w:sz w:val="16"/>
                <w:szCs w:val="16"/>
              </w:rPr>
            </w:pPr>
            <w:r w:rsidRPr="00AD7F64">
              <w:rPr>
                <w:bCs/>
                <w:sz w:val="16"/>
                <w:szCs w:val="16"/>
              </w:rPr>
              <w:t>N</w:t>
            </w:r>
          </w:p>
        </w:tc>
        <w:tc>
          <w:tcPr>
            <w:tcW w:w="1391" w:type="pct"/>
            <w:vAlign w:val="center"/>
          </w:tcPr>
          <w:p w14:paraId="4B49843E" w14:textId="77777777" w:rsidR="00AD7F64" w:rsidRPr="00AD7F64" w:rsidRDefault="00AD7F64" w:rsidP="00AD7F64">
            <w:pPr>
              <w:pStyle w:val="a7"/>
              <w:spacing w:beforeLines="0" w:before="0" w:afterLines="0" w:after="0" w:line="240" w:lineRule="auto"/>
              <w:rPr>
                <w:bCs/>
                <w:sz w:val="16"/>
                <w:szCs w:val="16"/>
              </w:rPr>
            </w:pPr>
            <w:r w:rsidRPr="00AD7F64">
              <w:rPr>
                <w:bCs/>
                <w:sz w:val="16"/>
                <w:szCs w:val="16"/>
              </w:rPr>
              <w:t>PK sampling design</w:t>
            </w:r>
          </w:p>
        </w:tc>
        <w:tc>
          <w:tcPr>
            <w:tcW w:w="366" w:type="pct"/>
            <w:vAlign w:val="center"/>
          </w:tcPr>
          <w:p w14:paraId="5E63252C" w14:textId="77777777" w:rsidR="00AD7F64" w:rsidRPr="00AD7F64" w:rsidRDefault="00AD7F64" w:rsidP="00AD7F64">
            <w:pPr>
              <w:pStyle w:val="a7"/>
              <w:spacing w:beforeLines="0" w:before="0" w:afterLines="0" w:after="0" w:line="240" w:lineRule="auto"/>
              <w:rPr>
                <w:bCs/>
                <w:sz w:val="16"/>
                <w:szCs w:val="16"/>
              </w:rPr>
            </w:pPr>
            <w:r w:rsidRPr="00AD7F64">
              <w:rPr>
                <w:bCs/>
                <w:sz w:val="16"/>
                <w:szCs w:val="16"/>
              </w:rPr>
              <w:t>Cut-off date</w:t>
            </w:r>
          </w:p>
        </w:tc>
      </w:tr>
      <w:tr w:rsidR="00AD7F64" w:rsidRPr="00AD7F64" w14:paraId="5694783B" w14:textId="77777777" w:rsidTr="0066657A">
        <w:trPr>
          <w:trHeight w:val="1183"/>
        </w:trPr>
        <w:tc>
          <w:tcPr>
            <w:tcW w:w="857" w:type="pct"/>
            <w:vAlign w:val="center"/>
          </w:tcPr>
          <w:p w14:paraId="420B1232" w14:textId="77777777" w:rsidR="00AD7F64" w:rsidRPr="00AD7F64" w:rsidRDefault="00AD7F64" w:rsidP="00AD7F64">
            <w:pPr>
              <w:pStyle w:val="a7"/>
              <w:spacing w:before="156" w:after="156" w:line="240" w:lineRule="auto"/>
              <w:rPr>
                <w:b w:val="0"/>
                <w:sz w:val="16"/>
                <w:szCs w:val="16"/>
              </w:rPr>
            </w:pPr>
            <w:r w:rsidRPr="00AD7F64">
              <w:rPr>
                <w:b w:val="0"/>
                <w:sz w:val="16"/>
                <w:szCs w:val="16"/>
              </w:rPr>
              <w:t>HLX10-001 (NCT03468751)</w:t>
            </w:r>
          </w:p>
        </w:tc>
        <w:tc>
          <w:tcPr>
            <w:tcW w:w="1277" w:type="pct"/>
            <w:vAlign w:val="center"/>
          </w:tcPr>
          <w:p w14:paraId="3DC5F017"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A Phase 1 Study of HLX10 in patients with advanced solid tumors</w:t>
            </w:r>
          </w:p>
        </w:tc>
        <w:tc>
          <w:tcPr>
            <w:tcW w:w="594" w:type="pct"/>
            <w:vAlign w:val="center"/>
          </w:tcPr>
          <w:p w14:paraId="6D9879B8" w14:textId="77777777" w:rsidR="00AD7F64" w:rsidRPr="00AD7F64" w:rsidRDefault="00AD7F64" w:rsidP="00AD7F64">
            <w:pPr>
              <w:pStyle w:val="a7"/>
              <w:spacing w:beforeLines="0" w:before="0" w:afterLines="0" w:after="0" w:line="240" w:lineRule="auto"/>
              <w:rPr>
                <w:b w:val="0"/>
                <w:sz w:val="16"/>
                <w:szCs w:val="16"/>
                <w:lang w:val="pl-PL"/>
              </w:rPr>
            </w:pPr>
            <w:r w:rsidRPr="00AD7F64">
              <w:rPr>
                <w:b w:val="0"/>
                <w:sz w:val="16"/>
                <w:szCs w:val="16"/>
                <w:lang w:val="pl-PL"/>
              </w:rPr>
              <w:t>0.3, 1, 3, 10 mg/kg Q2W; 200 mg Q2W; 300 mg Q3W; 400 mg Q4W</w:t>
            </w:r>
          </w:p>
        </w:tc>
        <w:tc>
          <w:tcPr>
            <w:tcW w:w="515" w:type="pct"/>
            <w:vAlign w:val="center"/>
          </w:tcPr>
          <w:p w14:paraId="0D82801B"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57</w:t>
            </w:r>
          </w:p>
        </w:tc>
        <w:tc>
          <w:tcPr>
            <w:tcW w:w="1391" w:type="pct"/>
            <w:vAlign w:val="center"/>
          </w:tcPr>
          <w:p w14:paraId="627953D0"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Pre-dose, EOI, 2, 6, 24, 48, 96, 168 h post-dose in cycle 1 &amp; 3; pre-2nd infusion in cycle 1–3; pre-dose of cycle 2 and 4–6 or up to 24 weeks; and at 28-day FU.</w:t>
            </w:r>
          </w:p>
        </w:tc>
        <w:tc>
          <w:tcPr>
            <w:tcW w:w="366" w:type="pct"/>
            <w:vAlign w:val="center"/>
          </w:tcPr>
          <w:p w14:paraId="639141C1"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2022-08-01</w:t>
            </w:r>
          </w:p>
        </w:tc>
      </w:tr>
      <w:tr w:rsidR="00AD7F64" w:rsidRPr="00AD7F64" w14:paraId="12096D96" w14:textId="77777777" w:rsidTr="0066657A">
        <w:trPr>
          <w:trHeight w:val="946"/>
        </w:trPr>
        <w:tc>
          <w:tcPr>
            <w:tcW w:w="857" w:type="pct"/>
            <w:vAlign w:val="center"/>
          </w:tcPr>
          <w:p w14:paraId="18D55796"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HLX10-004-NSCLC303 (NCT04033354)</w:t>
            </w:r>
          </w:p>
        </w:tc>
        <w:tc>
          <w:tcPr>
            <w:tcW w:w="1277" w:type="pct"/>
            <w:vAlign w:val="center"/>
          </w:tcPr>
          <w:p w14:paraId="4B8DDB66"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A randomized, double-blind, phase III study comparing HLX10+chemo vs. chemo alone in NSCLC</w:t>
            </w:r>
          </w:p>
        </w:tc>
        <w:tc>
          <w:tcPr>
            <w:tcW w:w="594" w:type="pct"/>
            <w:vAlign w:val="center"/>
          </w:tcPr>
          <w:p w14:paraId="1C26C3F4"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4.5 mg/kg Q3W</w:t>
            </w:r>
          </w:p>
        </w:tc>
        <w:tc>
          <w:tcPr>
            <w:tcW w:w="515" w:type="pct"/>
            <w:vAlign w:val="center"/>
          </w:tcPr>
          <w:p w14:paraId="163830B3"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439</w:t>
            </w:r>
          </w:p>
        </w:tc>
        <w:tc>
          <w:tcPr>
            <w:tcW w:w="1391" w:type="pct"/>
            <w:vAlign w:val="center"/>
          </w:tcPr>
          <w:p w14:paraId="04B0FA54"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Pre-dose in cycles 1, 2, 4, 6, 8 and every 4 cycles thereafter (C12, C16, etc.); EOI at cycle 1 and 8; termination and safety follow-up.</w:t>
            </w:r>
          </w:p>
        </w:tc>
        <w:tc>
          <w:tcPr>
            <w:tcW w:w="366" w:type="pct"/>
            <w:vAlign w:val="center"/>
          </w:tcPr>
          <w:p w14:paraId="14801DF1"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2023-01-31</w:t>
            </w:r>
          </w:p>
        </w:tc>
      </w:tr>
      <w:tr w:rsidR="00AD7F64" w:rsidRPr="00AD7F64" w14:paraId="60F805E9" w14:textId="77777777" w:rsidTr="0066657A">
        <w:trPr>
          <w:trHeight w:val="954"/>
        </w:trPr>
        <w:tc>
          <w:tcPr>
            <w:tcW w:w="857" w:type="pct"/>
            <w:vAlign w:val="center"/>
          </w:tcPr>
          <w:p w14:paraId="0EBDCE77"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HLX10-005-SCLC301 (NCT04063163)</w:t>
            </w:r>
          </w:p>
        </w:tc>
        <w:tc>
          <w:tcPr>
            <w:tcW w:w="1277" w:type="pct"/>
            <w:vAlign w:val="center"/>
          </w:tcPr>
          <w:p w14:paraId="22A65CD6"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Phase III study of HLX10 + chemo in previously untreated ES-SCLC</w:t>
            </w:r>
          </w:p>
        </w:tc>
        <w:tc>
          <w:tcPr>
            <w:tcW w:w="594" w:type="pct"/>
            <w:vAlign w:val="center"/>
          </w:tcPr>
          <w:p w14:paraId="63443AA8"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4.5 mg/kg Q3W</w:t>
            </w:r>
          </w:p>
        </w:tc>
        <w:tc>
          <w:tcPr>
            <w:tcW w:w="515" w:type="pct"/>
            <w:vAlign w:val="center"/>
          </w:tcPr>
          <w:p w14:paraId="4B8B32B8"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389</w:t>
            </w:r>
          </w:p>
        </w:tc>
        <w:tc>
          <w:tcPr>
            <w:tcW w:w="1391" w:type="pct"/>
            <w:vAlign w:val="center"/>
          </w:tcPr>
          <w:p w14:paraId="3625A811"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Pre-dose: cycle 1, 2, 4, 6, 8 and every 4 cycles; post-dose: cycle 1 and 8 (within 2h); termination and safety follow-up.</w:t>
            </w:r>
          </w:p>
        </w:tc>
        <w:tc>
          <w:tcPr>
            <w:tcW w:w="366" w:type="pct"/>
            <w:vAlign w:val="center"/>
          </w:tcPr>
          <w:p w14:paraId="5DAD6B3E"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2022-06-13</w:t>
            </w:r>
          </w:p>
        </w:tc>
      </w:tr>
      <w:tr w:rsidR="00AD7F64" w:rsidRPr="00AD7F64" w14:paraId="62E71E6B" w14:textId="77777777" w:rsidTr="0066657A">
        <w:trPr>
          <w:trHeight w:val="1175"/>
        </w:trPr>
        <w:tc>
          <w:tcPr>
            <w:tcW w:w="857" w:type="pct"/>
            <w:vAlign w:val="center"/>
          </w:tcPr>
          <w:p w14:paraId="26079410"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HLX10-008-HCC201 (NCT03973112)</w:t>
            </w:r>
          </w:p>
        </w:tc>
        <w:tc>
          <w:tcPr>
            <w:tcW w:w="1277" w:type="pct"/>
            <w:vAlign w:val="center"/>
          </w:tcPr>
          <w:p w14:paraId="0BC7EA2E"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A Phase II study evaluating HLX10 in combination with HLX04 for advanced HCC</w:t>
            </w:r>
          </w:p>
        </w:tc>
        <w:tc>
          <w:tcPr>
            <w:tcW w:w="594" w:type="pct"/>
            <w:vAlign w:val="center"/>
          </w:tcPr>
          <w:p w14:paraId="0F6F9B50"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3 mg/kg Q2W</w:t>
            </w:r>
          </w:p>
        </w:tc>
        <w:tc>
          <w:tcPr>
            <w:tcW w:w="515" w:type="pct"/>
            <w:vAlign w:val="center"/>
          </w:tcPr>
          <w:p w14:paraId="47A6132B"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123</w:t>
            </w:r>
          </w:p>
        </w:tc>
        <w:tc>
          <w:tcPr>
            <w:tcW w:w="1391" w:type="pct"/>
            <w:vAlign w:val="center"/>
          </w:tcPr>
          <w:p w14:paraId="493A40EC"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Within 7 days before C1D1; within 3 days pre-dose of cycles 2, 4, 6, 8 and every 4 cycles thereafter; within 2h after HLX10 infusion on C1D1 and C8D1; EOT and FU.</w:t>
            </w:r>
          </w:p>
        </w:tc>
        <w:tc>
          <w:tcPr>
            <w:tcW w:w="366" w:type="pct"/>
            <w:vAlign w:val="center"/>
          </w:tcPr>
          <w:p w14:paraId="5AD97194"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2023-04-26</w:t>
            </w:r>
          </w:p>
        </w:tc>
      </w:tr>
      <w:tr w:rsidR="00AD7F64" w:rsidRPr="00AD7F64" w14:paraId="53128040" w14:textId="77777777" w:rsidTr="0066657A">
        <w:trPr>
          <w:trHeight w:val="946"/>
        </w:trPr>
        <w:tc>
          <w:tcPr>
            <w:tcW w:w="857" w:type="pct"/>
            <w:vAlign w:val="center"/>
          </w:tcPr>
          <w:p w14:paraId="5786DF0A" w14:textId="77777777" w:rsidR="00AD7F64" w:rsidRPr="00AD7F64" w:rsidRDefault="00AD7F64" w:rsidP="00AD7F64">
            <w:pPr>
              <w:pStyle w:val="a7"/>
              <w:spacing w:before="156" w:after="156" w:line="240" w:lineRule="auto"/>
              <w:rPr>
                <w:b w:val="0"/>
                <w:sz w:val="16"/>
                <w:szCs w:val="16"/>
              </w:rPr>
            </w:pPr>
            <w:r w:rsidRPr="00AD7F64">
              <w:rPr>
                <w:b w:val="0"/>
                <w:sz w:val="16"/>
                <w:szCs w:val="16"/>
              </w:rPr>
              <w:t>HLX10-010-MSI201 (NCT03941574)</w:t>
            </w:r>
          </w:p>
        </w:tc>
        <w:tc>
          <w:tcPr>
            <w:tcW w:w="1277" w:type="pct"/>
            <w:vAlign w:val="center"/>
          </w:tcPr>
          <w:p w14:paraId="6C27593F"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A Phase II study evaluating HLX10 monotherapy in MSI-H/</w:t>
            </w:r>
            <w:proofErr w:type="spellStart"/>
            <w:r w:rsidRPr="00AD7F64">
              <w:rPr>
                <w:b w:val="0"/>
                <w:sz w:val="16"/>
                <w:szCs w:val="16"/>
              </w:rPr>
              <w:t>dMMR</w:t>
            </w:r>
            <w:proofErr w:type="spellEnd"/>
            <w:r w:rsidRPr="00AD7F64">
              <w:rPr>
                <w:b w:val="0"/>
                <w:sz w:val="16"/>
                <w:szCs w:val="16"/>
              </w:rPr>
              <w:t xml:space="preserve"> solid tumors</w:t>
            </w:r>
          </w:p>
        </w:tc>
        <w:tc>
          <w:tcPr>
            <w:tcW w:w="594" w:type="pct"/>
            <w:vAlign w:val="center"/>
          </w:tcPr>
          <w:p w14:paraId="3C97C531"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3 mg/kg Q2W</w:t>
            </w:r>
          </w:p>
        </w:tc>
        <w:tc>
          <w:tcPr>
            <w:tcW w:w="515" w:type="pct"/>
            <w:vAlign w:val="center"/>
          </w:tcPr>
          <w:p w14:paraId="2574B3A8"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108</w:t>
            </w:r>
          </w:p>
        </w:tc>
        <w:tc>
          <w:tcPr>
            <w:tcW w:w="1391" w:type="pct"/>
            <w:vAlign w:val="center"/>
          </w:tcPr>
          <w:p w14:paraId="091CF91E"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Pre-dose within 24h at cycles 1, 2, 4, 6, 8 and every 4 cycles; within 2h post-dose at cycle 1 and 8; EOT and FU.</w:t>
            </w:r>
          </w:p>
        </w:tc>
        <w:tc>
          <w:tcPr>
            <w:tcW w:w="366" w:type="pct"/>
            <w:vAlign w:val="center"/>
          </w:tcPr>
          <w:p w14:paraId="378DB982"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2021-07-10</w:t>
            </w:r>
          </w:p>
        </w:tc>
      </w:tr>
      <w:tr w:rsidR="00AD7F64" w:rsidRPr="00AD7F64" w14:paraId="3B8B4306" w14:textId="77777777" w:rsidTr="0066657A">
        <w:trPr>
          <w:trHeight w:val="954"/>
        </w:trPr>
        <w:tc>
          <w:tcPr>
            <w:tcW w:w="857" w:type="pct"/>
            <w:vAlign w:val="center"/>
          </w:tcPr>
          <w:p w14:paraId="07CEF0CB"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HLX10-011-CC201 (NCT04150575)</w:t>
            </w:r>
          </w:p>
        </w:tc>
        <w:tc>
          <w:tcPr>
            <w:tcW w:w="1277" w:type="pct"/>
            <w:vAlign w:val="center"/>
          </w:tcPr>
          <w:p w14:paraId="28F8518C" w14:textId="77777777" w:rsidR="00AD7F64" w:rsidRPr="00AD7F64" w:rsidRDefault="00AD7F64" w:rsidP="00AD7F64">
            <w:pPr>
              <w:pStyle w:val="a7"/>
              <w:spacing w:before="156" w:after="156" w:line="240" w:lineRule="auto"/>
              <w:rPr>
                <w:b w:val="0"/>
                <w:sz w:val="16"/>
                <w:szCs w:val="16"/>
              </w:rPr>
            </w:pPr>
            <w:r w:rsidRPr="00AD7F64">
              <w:rPr>
                <w:b w:val="0"/>
                <w:sz w:val="16"/>
                <w:szCs w:val="16"/>
              </w:rPr>
              <w:t xml:space="preserve">A Phase II Study to Evaluate Efficacy and Safety of HLX10 Combined </w:t>
            </w:r>
            <w:proofErr w:type="gramStart"/>
            <w:r w:rsidRPr="00AD7F64">
              <w:rPr>
                <w:b w:val="0"/>
                <w:sz w:val="16"/>
                <w:szCs w:val="16"/>
              </w:rPr>
              <w:t>With</w:t>
            </w:r>
            <w:proofErr w:type="gramEnd"/>
            <w:r w:rsidRPr="00AD7F64">
              <w:rPr>
                <w:b w:val="0"/>
                <w:sz w:val="16"/>
                <w:szCs w:val="16"/>
              </w:rPr>
              <w:t xml:space="preserve"> Albumin-Bound Paclitaxel in Patients </w:t>
            </w:r>
            <w:proofErr w:type="gramStart"/>
            <w:r w:rsidRPr="00AD7F64">
              <w:rPr>
                <w:b w:val="0"/>
                <w:sz w:val="16"/>
                <w:szCs w:val="16"/>
              </w:rPr>
              <w:t>With</w:t>
            </w:r>
            <w:proofErr w:type="gramEnd"/>
            <w:r w:rsidRPr="00AD7F64">
              <w:rPr>
                <w:b w:val="0"/>
                <w:sz w:val="16"/>
                <w:szCs w:val="16"/>
              </w:rPr>
              <w:t xml:space="preserve"> Advanced Cervical Cancer Who Have Progressive Disease or Intolerable Toxicity After First-Line Standard Chemotherapy</w:t>
            </w:r>
          </w:p>
        </w:tc>
        <w:tc>
          <w:tcPr>
            <w:tcW w:w="594" w:type="pct"/>
            <w:vAlign w:val="center"/>
          </w:tcPr>
          <w:p w14:paraId="595D2B5E"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4.5 mg/kg, Q3W</w:t>
            </w:r>
          </w:p>
        </w:tc>
        <w:tc>
          <w:tcPr>
            <w:tcW w:w="515" w:type="pct"/>
            <w:vAlign w:val="center"/>
          </w:tcPr>
          <w:p w14:paraId="6655A83C"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21</w:t>
            </w:r>
          </w:p>
        </w:tc>
        <w:tc>
          <w:tcPr>
            <w:tcW w:w="1391" w:type="pct"/>
            <w:vAlign w:val="center"/>
          </w:tcPr>
          <w:p w14:paraId="7F2405FF" w14:textId="77777777" w:rsidR="00AD7F64" w:rsidRPr="00AD7F64" w:rsidRDefault="00AD7F64" w:rsidP="00AD7F64">
            <w:pPr>
              <w:pStyle w:val="a7"/>
              <w:spacing w:before="156" w:after="156" w:line="240" w:lineRule="auto"/>
              <w:rPr>
                <w:b w:val="0"/>
                <w:sz w:val="16"/>
                <w:szCs w:val="16"/>
              </w:rPr>
            </w:pPr>
            <w:r w:rsidRPr="00AD7F64">
              <w:rPr>
                <w:b w:val="0"/>
                <w:sz w:val="16"/>
                <w:szCs w:val="16"/>
              </w:rPr>
              <w:t>Pre-dose: cycles 1, 2, 4, 6, and 8, and every 4 cycles thereafter within 24 h before HLX10 dosing.</w:t>
            </w:r>
            <w:r w:rsidRPr="00AD7F64">
              <w:rPr>
                <w:b w:val="0"/>
                <w:sz w:val="16"/>
                <w:szCs w:val="16"/>
              </w:rPr>
              <w:br/>
              <w:t>Post-dose: cycles 1 and 8 within 0.5 h after HLX10 infusion (PK only).</w:t>
            </w:r>
            <w:r w:rsidRPr="00AD7F64">
              <w:rPr>
                <w:b w:val="0"/>
                <w:sz w:val="16"/>
                <w:szCs w:val="16"/>
              </w:rPr>
              <w:br/>
              <w:t>Other: samples collected at EOT and during safety FU.</w:t>
            </w:r>
          </w:p>
        </w:tc>
        <w:tc>
          <w:tcPr>
            <w:tcW w:w="366" w:type="pct"/>
            <w:vAlign w:val="center"/>
          </w:tcPr>
          <w:p w14:paraId="2406FFAD"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2022-10-24</w:t>
            </w:r>
          </w:p>
        </w:tc>
      </w:tr>
      <w:tr w:rsidR="00AD7F64" w:rsidRPr="00AD7F64" w14:paraId="2DBFB432" w14:textId="77777777" w:rsidTr="0066657A">
        <w:trPr>
          <w:trHeight w:val="725"/>
        </w:trPr>
        <w:tc>
          <w:tcPr>
            <w:tcW w:w="857" w:type="pct"/>
            <w:vAlign w:val="center"/>
          </w:tcPr>
          <w:p w14:paraId="68971957"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HLX10HLX04-001 (NCT03757936)</w:t>
            </w:r>
          </w:p>
        </w:tc>
        <w:tc>
          <w:tcPr>
            <w:tcW w:w="1277" w:type="pct"/>
            <w:vAlign w:val="center"/>
          </w:tcPr>
          <w:p w14:paraId="07B4087C" w14:textId="77777777" w:rsidR="00AD7F64" w:rsidRPr="00AD7F64" w:rsidRDefault="00AD7F64" w:rsidP="00AD7F64">
            <w:pPr>
              <w:pStyle w:val="a7"/>
              <w:spacing w:before="156" w:after="156" w:line="240" w:lineRule="auto"/>
              <w:rPr>
                <w:b w:val="0"/>
                <w:sz w:val="16"/>
                <w:szCs w:val="16"/>
              </w:rPr>
            </w:pPr>
            <w:r w:rsidRPr="00AD7F64">
              <w:rPr>
                <w:b w:val="0"/>
                <w:sz w:val="16"/>
                <w:szCs w:val="16"/>
              </w:rPr>
              <w:t xml:space="preserve">A Phase I Clinical Study to Evaluate the Safety, Tolerability and Pharmacokinetics of Anti-PD-1 Antibody (HLX10) in Combination </w:t>
            </w:r>
            <w:proofErr w:type="gramStart"/>
            <w:r w:rsidRPr="00AD7F64">
              <w:rPr>
                <w:b w:val="0"/>
                <w:sz w:val="16"/>
                <w:szCs w:val="16"/>
              </w:rPr>
              <w:t>With</w:t>
            </w:r>
            <w:proofErr w:type="gramEnd"/>
            <w:r w:rsidRPr="00AD7F64">
              <w:rPr>
                <w:b w:val="0"/>
                <w:sz w:val="16"/>
                <w:szCs w:val="16"/>
              </w:rPr>
              <w:t xml:space="preserve"> Avastin Biosimilar (HLX04</w:t>
            </w:r>
            <w:proofErr w:type="gramStart"/>
            <w:r w:rsidRPr="00AD7F64">
              <w:rPr>
                <w:b w:val="0"/>
                <w:sz w:val="16"/>
                <w:szCs w:val="16"/>
              </w:rPr>
              <w:t>) in</w:t>
            </w:r>
            <w:proofErr w:type="gramEnd"/>
            <w:r w:rsidRPr="00AD7F64">
              <w:rPr>
                <w:b w:val="0"/>
                <w:sz w:val="16"/>
                <w:szCs w:val="16"/>
              </w:rPr>
              <w:t xml:space="preserve"> Patients </w:t>
            </w:r>
            <w:proofErr w:type="gramStart"/>
            <w:r w:rsidRPr="00AD7F64">
              <w:rPr>
                <w:b w:val="0"/>
                <w:sz w:val="16"/>
                <w:szCs w:val="16"/>
              </w:rPr>
              <w:t>With</w:t>
            </w:r>
            <w:proofErr w:type="gramEnd"/>
            <w:r w:rsidRPr="00AD7F64">
              <w:rPr>
                <w:b w:val="0"/>
                <w:sz w:val="16"/>
                <w:szCs w:val="16"/>
              </w:rPr>
              <w:t xml:space="preserve"> Advanced Solid Tumors</w:t>
            </w:r>
          </w:p>
        </w:tc>
        <w:tc>
          <w:tcPr>
            <w:tcW w:w="594" w:type="pct"/>
            <w:vAlign w:val="center"/>
          </w:tcPr>
          <w:p w14:paraId="20B6236A" w14:textId="77777777" w:rsidR="00AD7F64" w:rsidRPr="00AD7F64" w:rsidRDefault="00AD7F64" w:rsidP="00AD7F64">
            <w:pPr>
              <w:pStyle w:val="a5"/>
              <w:rPr>
                <w:kern w:val="24"/>
                <w:sz w:val="16"/>
                <w:szCs w:val="16"/>
                <w:lang w:val="pl-PL"/>
              </w:rPr>
            </w:pPr>
            <w:r w:rsidRPr="00AD7F64">
              <w:rPr>
                <w:kern w:val="24"/>
                <w:sz w:val="16"/>
                <w:szCs w:val="16"/>
                <w:lang w:val="pl-PL"/>
              </w:rPr>
              <w:t>1 mg/kg Q2W,</w:t>
            </w:r>
          </w:p>
          <w:p w14:paraId="06794CFD" w14:textId="77777777" w:rsidR="00AD7F64" w:rsidRPr="00AD7F64" w:rsidRDefault="00AD7F64" w:rsidP="00AD7F64">
            <w:pPr>
              <w:pStyle w:val="a5"/>
              <w:rPr>
                <w:kern w:val="24"/>
                <w:sz w:val="16"/>
                <w:szCs w:val="16"/>
                <w:lang w:val="pl-PL"/>
              </w:rPr>
            </w:pPr>
            <w:r w:rsidRPr="00AD7F64">
              <w:rPr>
                <w:kern w:val="24"/>
                <w:sz w:val="16"/>
                <w:szCs w:val="16"/>
                <w:lang w:val="pl-PL"/>
              </w:rPr>
              <w:t>3 mg/kg Q2W,</w:t>
            </w:r>
          </w:p>
          <w:p w14:paraId="768B3137" w14:textId="77777777" w:rsidR="00AD7F64" w:rsidRPr="00AD7F64" w:rsidRDefault="00AD7F64" w:rsidP="00AD7F64">
            <w:pPr>
              <w:pStyle w:val="a7"/>
              <w:spacing w:beforeLines="0" w:before="0" w:afterLines="0" w:after="0" w:line="240" w:lineRule="auto"/>
              <w:rPr>
                <w:b w:val="0"/>
                <w:sz w:val="16"/>
                <w:szCs w:val="16"/>
                <w:lang w:val="pl-PL"/>
              </w:rPr>
            </w:pPr>
            <w:r w:rsidRPr="00AD7F64">
              <w:rPr>
                <w:b w:val="0"/>
                <w:sz w:val="16"/>
                <w:szCs w:val="16"/>
                <w:lang w:val="pl-PL"/>
              </w:rPr>
              <w:t>10 mg/kg Q2W</w:t>
            </w:r>
          </w:p>
        </w:tc>
        <w:tc>
          <w:tcPr>
            <w:tcW w:w="515" w:type="pct"/>
            <w:vAlign w:val="center"/>
          </w:tcPr>
          <w:p w14:paraId="54EC0ABB"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26</w:t>
            </w:r>
          </w:p>
        </w:tc>
        <w:tc>
          <w:tcPr>
            <w:tcW w:w="1391" w:type="pct"/>
            <w:vAlign w:val="center"/>
          </w:tcPr>
          <w:p w14:paraId="7E649C98" w14:textId="77777777" w:rsidR="00AD7F64" w:rsidRPr="00AD7F64" w:rsidRDefault="00AD7F64" w:rsidP="00AD7F64">
            <w:pPr>
              <w:pStyle w:val="a7"/>
              <w:spacing w:before="156" w:after="156" w:line="240" w:lineRule="auto"/>
              <w:rPr>
                <w:b w:val="0"/>
                <w:sz w:val="16"/>
                <w:szCs w:val="16"/>
              </w:rPr>
            </w:pPr>
            <w:r w:rsidRPr="00AD7F64">
              <w:rPr>
                <w:b w:val="0"/>
                <w:bCs/>
                <w:sz w:val="16"/>
                <w:szCs w:val="16"/>
              </w:rPr>
              <w:t>C1 &amp; 4:</w:t>
            </w:r>
            <w:r w:rsidRPr="00AD7F64">
              <w:rPr>
                <w:b w:val="0"/>
                <w:sz w:val="16"/>
                <w:szCs w:val="16"/>
              </w:rPr>
              <w:t xml:space="preserve"> pre-dose; EOI; 2, 8, 24, 48, 96, 168, 336 h.</w:t>
            </w:r>
            <w:r w:rsidRPr="00AD7F64">
              <w:rPr>
                <w:b w:val="0"/>
                <w:sz w:val="16"/>
                <w:szCs w:val="16"/>
              </w:rPr>
              <w:br/>
            </w:r>
            <w:r w:rsidRPr="00AD7F64">
              <w:rPr>
                <w:b w:val="0"/>
                <w:bCs/>
                <w:sz w:val="16"/>
                <w:szCs w:val="16"/>
              </w:rPr>
              <w:t>C2/3/6:</w:t>
            </w:r>
            <w:r w:rsidRPr="00AD7F64">
              <w:rPr>
                <w:b w:val="0"/>
                <w:sz w:val="16"/>
                <w:szCs w:val="16"/>
              </w:rPr>
              <w:t xml:space="preserve"> pre-dose; EOI.</w:t>
            </w:r>
            <w:r w:rsidRPr="00AD7F64">
              <w:rPr>
                <w:b w:val="0"/>
                <w:sz w:val="16"/>
                <w:szCs w:val="16"/>
              </w:rPr>
              <w:br/>
            </w:r>
            <w:r w:rsidRPr="00AD7F64">
              <w:rPr>
                <w:b w:val="0"/>
                <w:bCs/>
                <w:sz w:val="16"/>
                <w:szCs w:val="16"/>
              </w:rPr>
              <w:t>Other:</w:t>
            </w:r>
            <w:r w:rsidRPr="00AD7F64">
              <w:rPr>
                <w:b w:val="0"/>
                <w:sz w:val="16"/>
                <w:szCs w:val="16"/>
              </w:rPr>
              <w:t xml:space="preserve"> Day 28 after last dose/EOT.</w:t>
            </w:r>
          </w:p>
        </w:tc>
        <w:tc>
          <w:tcPr>
            <w:tcW w:w="366" w:type="pct"/>
            <w:vAlign w:val="center"/>
          </w:tcPr>
          <w:p w14:paraId="74D86C4D"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2022-10-11</w:t>
            </w:r>
          </w:p>
        </w:tc>
      </w:tr>
      <w:tr w:rsidR="00AD7F64" w:rsidRPr="00AD7F64" w14:paraId="30B60BB6" w14:textId="77777777" w:rsidTr="0066657A">
        <w:trPr>
          <w:trHeight w:val="946"/>
        </w:trPr>
        <w:tc>
          <w:tcPr>
            <w:tcW w:w="857" w:type="pct"/>
            <w:vAlign w:val="center"/>
          </w:tcPr>
          <w:p w14:paraId="2E709D22"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HLX10HLX07-001 (NCT04297995)</w:t>
            </w:r>
          </w:p>
        </w:tc>
        <w:tc>
          <w:tcPr>
            <w:tcW w:w="1277" w:type="pct"/>
            <w:vAlign w:val="center"/>
          </w:tcPr>
          <w:p w14:paraId="3148F952" w14:textId="77777777" w:rsidR="00AD7F64" w:rsidRPr="00AD7F64" w:rsidRDefault="00AD7F64" w:rsidP="00AD7F64">
            <w:pPr>
              <w:pStyle w:val="a7"/>
              <w:spacing w:before="156" w:after="156" w:line="240" w:lineRule="auto"/>
              <w:rPr>
                <w:b w:val="0"/>
                <w:sz w:val="16"/>
                <w:szCs w:val="16"/>
              </w:rPr>
            </w:pPr>
            <w:r w:rsidRPr="00AD7F64">
              <w:rPr>
                <w:b w:val="0"/>
                <w:sz w:val="16"/>
                <w:szCs w:val="16"/>
              </w:rPr>
              <w:t xml:space="preserve">A Phase II study, to Evaluate the Efficacy and Safety of HLX10 in Combination </w:t>
            </w:r>
            <w:proofErr w:type="gramStart"/>
            <w:r w:rsidRPr="00AD7F64">
              <w:rPr>
                <w:b w:val="0"/>
                <w:sz w:val="16"/>
                <w:szCs w:val="16"/>
              </w:rPr>
              <w:t>With</w:t>
            </w:r>
            <w:proofErr w:type="gramEnd"/>
            <w:r w:rsidRPr="00AD7F64">
              <w:rPr>
                <w:b w:val="0"/>
                <w:sz w:val="16"/>
                <w:szCs w:val="16"/>
              </w:rPr>
              <w:t xml:space="preserve"> HLX07 in Patients </w:t>
            </w:r>
            <w:proofErr w:type="gramStart"/>
            <w:r w:rsidRPr="00AD7F64">
              <w:rPr>
                <w:b w:val="0"/>
                <w:sz w:val="16"/>
                <w:szCs w:val="16"/>
              </w:rPr>
              <w:t>With</w:t>
            </w:r>
            <w:proofErr w:type="gramEnd"/>
            <w:r w:rsidRPr="00AD7F64">
              <w:rPr>
                <w:b w:val="0"/>
                <w:sz w:val="16"/>
                <w:szCs w:val="16"/>
              </w:rPr>
              <w:t xml:space="preserve"> Advanced Head and Neck Tumors</w:t>
            </w:r>
          </w:p>
        </w:tc>
        <w:tc>
          <w:tcPr>
            <w:tcW w:w="594" w:type="pct"/>
            <w:vAlign w:val="center"/>
          </w:tcPr>
          <w:p w14:paraId="57917BB4"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3 mg/kg Q2W</w:t>
            </w:r>
          </w:p>
        </w:tc>
        <w:tc>
          <w:tcPr>
            <w:tcW w:w="515" w:type="pct"/>
            <w:vAlign w:val="center"/>
          </w:tcPr>
          <w:p w14:paraId="03439C15"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13</w:t>
            </w:r>
          </w:p>
        </w:tc>
        <w:tc>
          <w:tcPr>
            <w:tcW w:w="1391" w:type="pct"/>
            <w:vAlign w:val="center"/>
          </w:tcPr>
          <w:p w14:paraId="53C7967D" w14:textId="77777777" w:rsidR="00AD7F64" w:rsidRPr="00AD7F64" w:rsidRDefault="00AD7F64" w:rsidP="00AD7F64">
            <w:pPr>
              <w:pStyle w:val="a7"/>
              <w:spacing w:before="156" w:after="156" w:line="240" w:lineRule="auto"/>
              <w:rPr>
                <w:b w:val="0"/>
                <w:sz w:val="16"/>
                <w:szCs w:val="16"/>
              </w:rPr>
            </w:pPr>
            <w:r w:rsidRPr="00AD7F64">
              <w:rPr>
                <w:b w:val="0"/>
                <w:bCs/>
                <w:sz w:val="16"/>
                <w:szCs w:val="16"/>
              </w:rPr>
              <w:t>C1D1 &amp; C3D1:</w:t>
            </w:r>
            <w:r w:rsidRPr="00AD7F64">
              <w:rPr>
                <w:b w:val="0"/>
                <w:sz w:val="16"/>
                <w:szCs w:val="16"/>
              </w:rPr>
              <w:t xml:space="preserve"> pre-dose; HLX10 EOI / before HLX07; HLX07 EOI; 2, 24, 72, 168 h. </w:t>
            </w:r>
            <w:r w:rsidRPr="00AD7F64">
              <w:rPr>
                <w:b w:val="0"/>
                <w:bCs/>
                <w:sz w:val="16"/>
                <w:szCs w:val="16"/>
              </w:rPr>
              <w:t>C1D15 &amp; C3D15:</w:t>
            </w:r>
            <w:r w:rsidRPr="00AD7F64">
              <w:rPr>
                <w:b w:val="0"/>
                <w:sz w:val="16"/>
                <w:szCs w:val="16"/>
              </w:rPr>
              <w:t xml:space="preserve"> pre-dose; HLX07 EOI. </w:t>
            </w:r>
            <w:r w:rsidRPr="00AD7F64">
              <w:rPr>
                <w:b w:val="0"/>
                <w:bCs/>
                <w:sz w:val="16"/>
                <w:szCs w:val="16"/>
              </w:rPr>
              <w:t>C2D1, C4D1, C6D1:</w:t>
            </w:r>
            <w:r w:rsidRPr="00AD7F64">
              <w:rPr>
                <w:b w:val="0"/>
                <w:sz w:val="16"/>
                <w:szCs w:val="16"/>
              </w:rPr>
              <w:t xml:space="preserve"> pre-dose; HLX07 EOI.</w:t>
            </w:r>
            <w:r w:rsidRPr="00AD7F64">
              <w:rPr>
                <w:b w:val="0"/>
                <w:sz w:val="16"/>
                <w:szCs w:val="16"/>
              </w:rPr>
              <w:br/>
            </w:r>
            <w:r w:rsidRPr="00AD7F64">
              <w:rPr>
                <w:b w:val="0"/>
                <w:bCs/>
                <w:sz w:val="16"/>
                <w:szCs w:val="16"/>
              </w:rPr>
              <w:t>Other:</w:t>
            </w:r>
            <w:r w:rsidRPr="00AD7F64">
              <w:rPr>
                <w:b w:val="0"/>
                <w:sz w:val="16"/>
                <w:szCs w:val="16"/>
              </w:rPr>
              <w:t xml:space="preserve"> samples at EOT and FU visit 1 (if feasible).</w:t>
            </w:r>
          </w:p>
        </w:tc>
        <w:tc>
          <w:tcPr>
            <w:tcW w:w="366" w:type="pct"/>
            <w:vAlign w:val="center"/>
          </w:tcPr>
          <w:p w14:paraId="2AE5107B"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2022-09-16</w:t>
            </w:r>
          </w:p>
        </w:tc>
      </w:tr>
      <w:tr w:rsidR="00AD7F64" w:rsidRPr="00AD7F64" w14:paraId="1FF9088D" w14:textId="77777777" w:rsidTr="0066657A">
        <w:trPr>
          <w:trHeight w:val="946"/>
        </w:trPr>
        <w:tc>
          <w:tcPr>
            <w:tcW w:w="857" w:type="pct"/>
            <w:vAlign w:val="center"/>
          </w:tcPr>
          <w:p w14:paraId="52EC1477"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lastRenderedPageBreak/>
              <w:t>HLX10-002-NSCLC301 (NCT03952403)</w:t>
            </w:r>
          </w:p>
        </w:tc>
        <w:tc>
          <w:tcPr>
            <w:tcW w:w="1277" w:type="pct"/>
            <w:vAlign w:val="center"/>
          </w:tcPr>
          <w:p w14:paraId="45DA00C8"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A Phase III; randomized, double-blind; HLX10+chemo±HLX04 vs chemo in 1L non-squamous NSCLC.</w:t>
            </w:r>
          </w:p>
        </w:tc>
        <w:tc>
          <w:tcPr>
            <w:tcW w:w="594" w:type="pct"/>
            <w:vAlign w:val="center"/>
          </w:tcPr>
          <w:p w14:paraId="575CD38B"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4.5 mg/kg, Q3W</w:t>
            </w:r>
          </w:p>
        </w:tc>
        <w:tc>
          <w:tcPr>
            <w:tcW w:w="515" w:type="pct"/>
            <w:vAlign w:val="center"/>
          </w:tcPr>
          <w:p w14:paraId="1F2C6200"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491</w:t>
            </w:r>
          </w:p>
        </w:tc>
        <w:tc>
          <w:tcPr>
            <w:tcW w:w="1391" w:type="pct"/>
            <w:vAlign w:val="center"/>
          </w:tcPr>
          <w:p w14:paraId="04B86010" w14:textId="77777777" w:rsidR="00AD7F64" w:rsidRPr="00AD7F64" w:rsidRDefault="00AD7F64" w:rsidP="00AD7F64">
            <w:pPr>
              <w:pStyle w:val="a7"/>
              <w:spacing w:beforeLines="0" w:before="0" w:afterLines="0" w:after="0" w:line="240" w:lineRule="auto"/>
              <w:rPr>
                <w:b w:val="0"/>
                <w:sz w:val="16"/>
                <w:szCs w:val="16"/>
              </w:rPr>
            </w:pPr>
            <w:r w:rsidRPr="00AD7F64">
              <w:rPr>
                <w:b w:val="0"/>
                <w:bCs/>
                <w:sz w:val="16"/>
                <w:szCs w:val="16"/>
              </w:rPr>
              <w:t>Pre-dose:</w:t>
            </w:r>
            <w:r w:rsidRPr="00AD7F64">
              <w:rPr>
                <w:b w:val="0"/>
                <w:sz w:val="16"/>
                <w:szCs w:val="16"/>
              </w:rPr>
              <w:t xml:space="preserve"> C1 ≤ 7 days; C2/4/6/8 and q4 cycles ≤ 3 days before dosing.</w:t>
            </w:r>
            <w:r w:rsidRPr="00AD7F64">
              <w:rPr>
                <w:b w:val="0"/>
                <w:sz w:val="16"/>
                <w:szCs w:val="16"/>
              </w:rPr>
              <w:br/>
            </w:r>
            <w:proofErr w:type="gramStart"/>
            <w:r w:rsidRPr="00AD7F64">
              <w:rPr>
                <w:b w:val="0"/>
                <w:bCs/>
                <w:sz w:val="16"/>
                <w:szCs w:val="16"/>
              </w:rPr>
              <w:t>Post-dose</w:t>
            </w:r>
            <w:proofErr w:type="gramEnd"/>
            <w:r w:rsidRPr="00AD7F64">
              <w:rPr>
                <w:b w:val="0"/>
                <w:bCs/>
                <w:sz w:val="16"/>
                <w:szCs w:val="16"/>
              </w:rPr>
              <w:t>:</w:t>
            </w:r>
            <w:r w:rsidRPr="00AD7F64">
              <w:rPr>
                <w:b w:val="0"/>
                <w:sz w:val="16"/>
                <w:szCs w:val="16"/>
              </w:rPr>
              <w:t xml:space="preserve"> C1 &amp; C8 within 2 h after HLX10/HLX04 (or placebo) infusion.</w:t>
            </w:r>
            <w:r w:rsidRPr="00AD7F64">
              <w:rPr>
                <w:b w:val="0"/>
                <w:sz w:val="16"/>
                <w:szCs w:val="16"/>
              </w:rPr>
              <w:br/>
            </w:r>
            <w:r w:rsidRPr="00AD7F64">
              <w:rPr>
                <w:b w:val="0"/>
                <w:bCs/>
                <w:sz w:val="16"/>
                <w:szCs w:val="16"/>
              </w:rPr>
              <w:t>Other:</w:t>
            </w:r>
            <w:r w:rsidRPr="00AD7F64">
              <w:rPr>
                <w:b w:val="0"/>
                <w:sz w:val="16"/>
                <w:szCs w:val="16"/>
              </w:rPr>
              <w:t xml:space="preserve"> EOT and safety FU.</w:t>
            </w:r>
          </w:p>
        </w:tc>
        <w:tc>
          <w:tcPr>
            <w:tcW w:w="366" w:type="pct"/>
            <w:vAlign w:val="center"/>
          </w:tcPr>
          <w:p w14:paraId="3049F2EC"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2023-06-15</w:t>
            </w:r>
          </w:p>
        </w:tc>
      </w:tr>
      <w:tr w:rsidR="00AD7F64" w:rsidRPr="00AD7F64" w14:paraId="40C8AF26" w14:textId="77777777" w:rsidTr="0066657A">
        <w:trPr>
          <w:trHeight w:val="954"/>
        </w:trPr>
        <w:tc>
          <w:tcPr>
            <w:tcW w:w="857" w:type="pct"/>
            <w:vAlign w:val="center"/>
          </w:tcPr>
          <w:p w14:paraId="2FC9C145"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HLX10-007-EC301 (NCT03958890)</w:t>
            </w:r>
          </w:p>
        </w:tc>
        <w:tc>
          <w:tcPr>
            <w:tcW w:w="1277" w:type="pct"/>
            <w:vAlign w:val="center"/>
          </w:tcPr>
          <w:p w14:paraId="6A0848CF" w14:textId="77777777" w:rsidR="00AD7F64" w:rsidRPr="00AD7F64" w:rsidRDefault="00AD7F64" w:rsidP="00AD7F64">
            <w:pPr>
              <w:pStyle w:val="a7"/>
              <w:spacing w:before="156" w:after="156" w:line="240" w:lineRule="auto"/>
              <w:rPr>
                <w:b w:val="0"/>
                <w:sz w:val="16"/>
                <w:szCs w:val="16"/>
              </w:rPr>
            </w:pPr>
            <w:r w:rsidRPr="00AD7F64">
              <w:rPr>
                <w:b w:val="0"/>
                <w:sz w:val="16"/>
                <w:szCs w:val="16"/>
              </w:rPr>
              <w:t>A Phase III, randomized, double-blind study of HLX10 + cisplatin/5-FU vs placebo + cisplatin/5-FU in first-line ESCC.</w:t>
            </w:r>
          </w:p>
        </w:tc>
        <w:tc>
          <w:tcPr>
            <w:tcW w:w="594" w:type="pct"/>
            <w:vAlign w:val="center"/>
          </w:tcPr>
          <w:p w14:paraId="5ADE17BF"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3 mg/kg, Q2W</w:t>
            </w:r>
          </w:p>
        </w:tc>
        <w:tc>
          <w:tcPr>
            <w:tcW w:w="515" w:type="pct"/>
            <w:vAlign w:val="center"/>
          </w:tcPr>
          <w:p w14:paraId="1541DF78"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389</w:t>
            </w:r>
          </w:p>
        </w:tc>
        <w:tc>
          <w:tcPr>
            <w:tcW w:w="1391" w:type="pct"/>
            <w:vAlign w:val="center"/>
          </w:tcPr>
          <w:p w14:paraId="1B26B359" w14:textId="77777777" w:rsidR="00AD7F64" w:rsidRPr="00AD7F64" w:rsidRDefault="00AD7F64" w:rsidP="00AD7F64">
            <w:pPr>
              <w:pStyle w:val="a7"/>
              <w:spacing w:beforeLines="0" w:before="0" w:afterLines="0" w:after="0" w:line="240" w:lineRule="auto"/>
              <w:rPr>
                <w:b w:val="0"/>
                <w:sz w:val="16"/>
                <w:szCs w:val="16"/>
              </w:rPr>
            </w:pPr>
            <w:r w:rsidRPr="00AD7F64">
              <w:rPr>
                <w:b w:val="0"/>
                <w:bCs/>
                <w:sz w:val="16"/>
                <w:szCs w:val="16"/>
              </w:rPr>
              <w:t>Pre-dose:</w:t>
            </w:r>
            <w:r w:rsidRPr="00AD7F64">
              <w:rPr>
                <w:b w:val="0"/>
                <w:sz w:val="16"/>
                <w:szCs w:val="16"/>
              </w:rPr>
              <w:t xml:space="preserve"> ≤24 h before HLX10 in C1/2/4/6/8 and q4 cycles.</w:t>
            </w:r>
            <w:r w:rsidRPr="00AD7F64">
              <w:rPr>
                <w:b w:val="0"/>
                <w:sz w:val="16"/>
                <w:szCs w:val="16"/>
              </w:rPr>
              <w:br/>
            </w:r>
            <w:proofErr w:type="gramStart"/>
            <w:r w:rsidRPr="00AD7F64">
              <w:rPr>
                <w:b w:val="0"/>
                <w:bCs/>
                <w:sz w:val="16"/>
                <w:szCs w:val="16"/>
              </w:rPr>
              <w:t>Post-dose</w:t>
            </w:r>
            <w:proofErr w:type="gramEnd"/>
            <w:r w:rsidRPr="00AD7F64">
              <w:rPr>
                <w:b w:val="0"/>
                <w:bCs/>
                <w:sz w:val="16"/>
                <w:szCs w:val="16"/>
              </w:rPr>
              <w:t>:</w:t>
            </w:r>
            <w:r w:rsidRPr="00AD7F64">
              <w:rPr>
                <w:b w:val="0"/>
                <w:sz w:val="16"/>
                <w:szCs w:val="16"/>
              </w:rPr>
              <w:t xml:space="preserve"> C1 &amp; C8 within 0.5 h after HLX10 infusion.</w:t>
            </w:r>
            <w:r w:rsidRPr="00AD7F64">
              <w:rPr>
                <w:b w:val="0"/>
                <w:sz w:val="16"/>
                <w:szCs w:val="16"/>
              </w:rPr>
              <w:br/>
            </w:r>
            <w:r w:rsidRPr="00AD7F64">
              <w:rPr>
                <w:b w:val="0"/>
                <w:bCs/>
                <w:sz w:val="16"/>
                <w:szCs w:val="16"/>
              </w:rPr>
              <w:t>Other:</w:t>
            </w:r>
            <w:r w:rsidRPr="00AD7F64">
              <w:rPr>
                <w:b w:val="0"/>
                <w:sz w:val="16"/>
                <w:szCs w:val="16"/>
              </w:rPr>
              <w:t xml:space="preserve"> EOT and safety FU.</w:t>
            </w:r>
          </w:p>
        </w:tc>
        <w:tc>
          <w:tcPr>
            <w:tcW w:w="366" w:type="pct"/>
            <w:vAlign w:val="center"/>
          </w:tcPr>
          <w:p w14:paraId="36BB0C03"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2022-04-15</w:t>
            </w:r>
          </w:p>
        </w:tc>
      </w:tr>
      <w:tr w:rsidR="00AD7F64" w:rsidRPr="00AD7F64" w14:paraId="6DA25352" w14:textId="77777777" w:rsidTr="0066657A">
        <w:trPr>
          <w:trHeight w:val="954"/>
        </w:trPr>
        <w:tc>
          <w:tcPr>
            <w:tcW w:w="857" w:type="pct"/>
            <w:vAlign w:val="center"/>
          </w:tcPr>
          <w:p w14:paraId="6DF41965"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HLX10-015-mCRC301 (NCT04547166)</w:t>
            </w:r>
          </w:p>
        </w:tc>
        <w:tc>
          <w:tcPr>
            <w:tcW w:w="1277" w:type="pct"/>
            <w:vAlign w:val="center"/>
          </w:tcPr>
          <w:p w14:paraId="487F3AAA" w14:textId="77777777" w:rsidR="00AD7F64" w:rsidRPr="00AD7F64" w:rsidRDefault="00AD7F64" w:rsidP="00AD7F64">
            <w:pPr>
              <w:pStyle w:val="a7"/>
              <w:spacing w:before="156" w:after="156" w:line="240" w:lineRule="auto"/>
              <w:rPr>
                <w:b w:val="0"/>
                <w:sz w:val="16"/>
                <w:szCs w:val="16"/>
              </w:rPr>
            </w:pPr>
            <w:r w:rsidRPr="00AD7F64">
              <w:rPr>
                <w:b w:val="0"/>
                <w:sz w:val="16"/>
                <w:szCs w:val="16"/>
              </w:rPr>
              <w:t>A Phase II/III; randomized, double-blind; HLX10 + HLX04 + XELOX vs placebo + bevacizumab + XELOX in 1L mCRC.</w:t>
            </w:r>
          </w:p>
        </w:tc>
        <w:tc>
          <w:tcPr>
            <w:tcW w:w="594" w:type="pct"/>
            <w:vAlign w:val="center"/>
          </w:tcPr>
          <w:p w14:paraId="53FA7914"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300mg, Q3W</w:t>
            </w:r>
          </w:p>
        </w:tc>
        <w:tc>
          <w:tcPr>
            <w:tcW w:w="515" w:type="pct"/>
            <w:vAlign w:val="center"/>
          </w:tcPr>
          <w:p w14:paraId="4B03CEA1"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64</w:t>
            </w:r>
          </w:p>
        </w:tc>
        <w:tc>
          <w:tcPr>
            <w:tcW w:w="1391" w:type="pct"/>
            <w:vAlign w:val="center"/>
          </w:tcPr>
          <w:p w14:paraId="6C1AD293" w14:textId="77777777" w:rsidR="00AD7F64" w:rsidRPr="00AD7F64" w:rsidRDefault="00AD7F64" w:rsidP="00AD7F64">
            <w:pPr>
              <w:pStyle w:val="a7"/>
              <w:spacing w:before="156" w:after="156" w:line="240" w:lineRule="auto"/>
              <w:rPr>
                <w:b w:val="0"/>
                <w:bCs/>
                <w:sz w:val="16"/>
                <w:szCs w:val="16"/>
              </w:rPr>
            </w:pPr>
            <w:r w:rsidRPr="00AD7F64">
              <w:rPr>
                <w:b w:val="0"/>
                <w:bCs/>
                <w:sz w:val="16"/>
                <w:szCs w:val="16"/>
              </w:rPr>
              <w:t>Part A (first 54): C1/4 ≤60 min; C2/5 ≤24 h; C6/8+q4 ≤24 h; C1/4 EOI + 2, 6, 24, 48, 96, 168, 336, 504 h; C8 ≤0.5 h after HLX10/HLX04.</w:t>
            </w:r>
          </w:p>
          <w:p w14:paraId="5C0D344E" w14:textId="77777777" w:rsidR="00AD7F64" w:rsidRPr="00AD7F64" w:rsidRDefault="00AD7F64" w:rsidP="00AD7F64">
            <w:pPr>
              <w:pStyle w:val="a7"/>
              <w:spacing w:before="156" w:after="156" w:line="240" w:lineRule="auto"/>
              <w:rPr>
                <w:b w:val="0"/>
                <w:bCs/>
                <w:sz w:val="16"/>
                <w:szCs w:val="16"/>
              </w:rPr>
            </w:pPr>
            <w:r w:rsidRPr="00AD7F64">
              <w:rPr>
                <w:b w:val="0"/>
                <w:bCs/>
                <w:sz w:val="16"/>
                <w:szCs w:val="16"/>
              </w:rPr>
              <w:t>Part B (others): Screening; C2/4/6/8+q4 ≤24 h; C1/8 ≤0.5 h after HLX10/HLX04; EOT+FU.</w:t>
            </w:r>
          </w:p>
        </w:tc>
        <w:tc>
          <w:tcPr>
            <w:tcW w:w="366" w:type="pct"/>
            <w:vAlign w:val="center"/>
          </w:tcPr>
          <w:p w14:paraId="019C8B8D" w14:textId="77777777" w:rsidR="00AD7F64" w:rsidRPr="00AD7F64" w:rsidRDefault="00AD7F64" w:rsidP="00AD7F64">
            <w:pPr>
              <w:pStyle w:val="a7"/>
              <w:spacing w:beforeLines="0" w:before="0" w:afterLines="0" w:after="0" w:line="240" w:lineRule="auto"/>
              <w:rPr>
                <w:b w:val="0"/>
                <w:sz w:val="16"/>
                <w:szCs w:val="16"/>
              </w:rPr>
            </w:pPr>
            <w:r w:rsidRPr="00AD7F64">
              <w:rPr>
                <w:b w:val="0"/>
                <w:sz w:val="16"/>
                <w:szCs w:val="16"/>
              </w:rPr>
              <w:t>2022-10-20</w:t>
            </w:r>
          </w:p>
        </w:tc>
      </w:tr>
    </w:tbl>
    <w:p w14:paraId="07636C5A" w14:textId="77777777" w:rsidR="00AD7F64" w:rsidRPr="00AD7F64" w:rsidRDefault="00AD7F64" w:rsidP="00AD7F64">
      <w:pPr>
        <w:spacing w:line="240" w:lineRule="auto"/>
        <w:rPr>
          <w:rFonts w:ascii="Times New Roman" w:hAnsi="Times New Roman" w:cs="Times New Roman"/>
        </w:rPr>
      </w:pPr>
      <w:r w:rsidRPr="00AD7F64">
        <w:rPr>
          <w:rFonts w:ascii="Times New Roman" w:hAnsi="Times New Roman" w:cs="Times New Roman"/>
          <w:sz w:val="16"/>
          <w:szCs w:val="16"/>
        </w:rPr>
        <w:t xml:space="preserve">FU: follow-up; EOI: end of infusion; EOT: end of treatment; </w:t>
      </w:r>
      <w:proofErr w:type="spellStart"/>
      <w:r w:rsidRPr="00AD7F64">
        <w:rPr>
          <w:rFonts w:ascii="Times New Roman" w:hAnsi="Times New Roman" w:cs="Times New Roman"/>
          <w:sz w:val="16"/>
          <w:szCs w:val="16"/>
        </w:rPr>
        <w:t>CxDy</w:t>
      </w:r>
      <w:proofErr w:type="spellEnd"/>
      <w:r w:rsidRPr="00AD7F64">
        <w:rPr>
          <w:rFonts w:ascii="Times New Roman" w:hAnsi="Times New Roman" w:cs="Times New Roman"/>
          <w:sz w:val="16"/>
          <w:szCs w:val="16"/>
        </w:rPr>
        <w:t>: cycle x day y (e.g., C1D1 = cycle 1 day 1);</w:t>
      </w:r>
      <w:r w:rsidRPr="00AD7F64">
        <w:rPr>
          <w:rFonts w:ascii="Times New Roman" w:hAnsi="Times New Roman" w:cs="Times New Roman"/>
          <w:bCs/>
          <w:sz w:val="16"/>
          <w:szCs w:val="16"/>
        </w:rPr>
        <w:t xml:space="preserve"> q4 ≤24 h: every 4 weeks ≤24 h before dose</w:t>
      </w:r>
      <w:r w:rsidRPr="00AD7F64">
        <w:rPr>
          <w:rFonts w:ascii="Times New Roman" w:hAnsi="Times New Roman" w:cs="Times New Roman"/>
          <w:sz w:val="16"/>
          <w:szCs w:val="16"/>
        </w:rPr>
        <w:t>.</w:t>
      </w:r>
    </w:p>
    <w:p w14:paraId="0C406595" w14:textId="77777777" w:rsidR="00AD7F64" w:rsidRPr="00AD7F64" w:rsidRDefault="00AD7F64" w:rsidP="00AD7F64">
      <w:pPr>
        <w:spacing w:line="240" w:lineRule="auto"/>
        <w:rPr>
          <w:rFonts w:ascii="Times New Roman" w:hAnsi="Times New Roman" w:cs="Times New Roman"/>
        </w:rPr>
      </w:pPr>
    </w:p>
    <w:p w14:paraId="1D85B10A" w14:textId="77777777" w:rsidR="00AD7F64" w:rsidRPr="00AD7F64" w:rsidRDefault="00AD7F64" w:rsidP="00AD7F64">
      <w:pPr>
        <w:spacing w:line="240" w:lineRule="auto"/>
        <w:rPr>
          <w:rFonts w:ascii="Times New Roman" w:hAnsi="Times New Roman" w:cs="Times New Roman"/>
          <w:b/>
          <w:bCs/>
        </w:rPr>
      </w:pPr>
      <w:r w:rsidRPr="00AD7F64">
        <w:rPr>
          <w:rFonts w:ascii="Times New Roman" w:hAnsi="Times New Roman" w:cs="Times New Roman"/>
          <w:b/>
          <w:bCs/>
        </w:rPr>
        <w:br w:type="page"/>
      </w:r>
    </w:p>
    <w:p w14:paraId="2CE5910B" w14:textId="067DF555" w:rsidR="00AD7F64" w:rsidRPr="00AD7F64" w:rsidRDefault="00AD7F64" w:rsidP="00AD7F64">
      <w:pPr>
        <w:pStyle w:val="a"/>
        <w:spacing w:before="156" w:after="156" w:line="240" w:lineRule="auto"/>
        <w:ind w:firstLineChars="0" w:firstLine="0"/>
        <w:jc w:val="left"/>
        <w:rPr>
          <w:b/>
          <w:bCs/>
        </w:rPr>
      </w:pPr>
      <w:r w:rsidRPr="00AD7F64">
        <w:rPr>
          <w:b/>
          <w:bCs/>
        </w:rPr>
        <w:lastRenderedPageBreak/>
        <w:t>Figure S1</w:t>
      </w:r>
      <w:r w:rsidR="00CB25A5">
        <w:rPr>
          <w:rFonts w:hint="eastAsia"/>
          <w:b/>
          <w:bCs/>
        </w:rPr>
        <w:t xml:space="preserve">. </w:t>
      </w:r>
      <w:r w:rsidR="00CB25A5" w:rsidRPr="00F81EF2">
        <w:rPr>
          <w:b/>
        </w:rPr>
        <w:t xml:space="preserve">Diagnostic plots for the final PopPK model of serplulimab. </w:t>
      </w:r>
    </w:p>
    <w:p w14:paraId="7DFA269D" w14:textId="77777777" w:rsidR="00AD7F64" w:rsidRPr="00AD7F64" w:rsidRDefault="00AD7F64" w:rsidP="00AD7F64">
      <w:pPr>
        <w:pStyle w:val="a"/>
        <w:spacing w:before="156" w:after="156" w:line="240" w:lineRule="auto"/>
        <w:ind w:firstLineChars="250" w:firstLine="628"/>
        <w:jc w:val="center"/>
        <w:rPr>
          <w:color w:val="EE0000"/>
        </w:rPr>
      </w:pPr>
      <w:r w:rsidRPr="00AD7F64">
        <w:rPr>
          <w:color w:val="EE0000"/>
        </w:rPr>
        <w:t xml:space="preserve"> </w:t>
      </w:r>
      <w:r w:rsidRPr="00AD7F64">
        <w:rPr>
          <w:noProof/>
        </w:rPr>
        <w:drawing>
          <wp:inline distT="0" distB="0" distL="0" distR="0" wp14:anchorId="6FDDDA9C" wp14:editId="2D187308">
            <wp:extent cx="5274310" cy="4616450"/>
            <wp:effectExtent l="0" t="0" r="2540" b="0"/>
            <wp:docPr id="1643532043" name="Picture 1"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32043" name="Picture 1" descr="Chart, line chart&#10;&#10;AI-generated content may be incorrect."/>
                    <pic:cNvPicPr/>
                  </pic:nvPicPr>
                  <pic:blipFill>
                    <a:blip r:embed="rId10"/>
                    <a:stretch>
                      <a:fillRect/>
                    </a:stretch>
                  </pic:blipFill>
                  <pic:spPr>
                    <a:xfrm>
                      <a:off x="0" y="0"/>
                      <a:ext cx="5274310" cy="4616450"/>
                    </a:xfrm>
                    <a:prstGeom prst="rect">
                      <a:avLst/>
                    </a:prstGeom>
                  </pic:spPr>
                </pic:pic>
              </a:graphicData>
            </a:graphic>
          </wp:inline>
        </w:drawing>
      </w:r>
    </w:p>
    <w:p w14:paraId="00A84A27" w14:textId="2D237AFD" w:rsidR="00AD7F64" w:rsidRPr="00AD7F64" w:rsidRDefault="00AD7F64" w:rsidP="00AD7F64">
      <w:pPr>
        <w:spacing w:line="240" w:lineRule="auto"/>
        <w:rPr>
          <w:rFonts w:ascii="Times New Roman" w:hAnsi="Times New Roman" w:cs="Times New Roman"/>
          <w:sz w:val="20"/>
          <w:szCs w:val="20"/>
        </w:rPr>
      </w:pPr>
      <w:r w:rsidRPr="00AD7F64">
        <w:rPr>
          <w:rFonts w:ascii="Times New Roman" w:hAnsi="Times New Roman" w:cs="Times New Roman"/>
          <w:sz w:val="20"/>
          <w:szCs w:val="20"/>
        </w:rPr>
        <w:t>Observed concentrations versus population predictions and individual predictions are shown in the top panels. Conditional weighted residuals (CWRES) plotted against time and population predictions are shown in the bottom panels. The plots indicate good concordance between model predictions and observed data, with no apparent structural bias.</w:t>
      </w:r>
    </w:p>
    <w:p w14:paraId="53316A0C" w14:textId="77777777" w:rsidR="00AD7F64" w:rsidRPr="00AD7F64" w:rsidRDefault="00AD7F64" w:rsidP="00AD7F64">
      <w:pPr>
        <w:pStyle w:val="a"/>
        <w:spacing w:before="156" w:after="156" w:line="240" w:lineRule="auto"/>
        <w:ind w:firstLineChars="250" w:firstLine="628"/>
        <w:jc w:val="center"/>
        <w:rPr>
          <w:color w:val="EE0000"/>
        </w:rPr>
      </w:pPr>
    </w:p>
    <w:p w14:paraId="29BE2AD3" w14:textId="77777777" w:rsidR="00AD7F64" w:rsidRPr="00AD7F64" w:rsidRDefault="00AD7F64" w:rsidP="00AD7F64">
      <w:pPr>
        <w:pStyle w:val="a"/>
        <w:spacing w:before="156" w:after="156" w:line="240" w:lineRule="auto"/>
        <w:ind w:firstLineChars="250" w:firstLine="628"/>
        <w:jc w:val="center"/>
        <w:rPr>
          <w:color w:val="EE0000"/>
        </w:rPr>
      </w:pPr>
    </w:p>
    <w:p w14:paraId="7F7DA522" w14:textId="77777777" w:rsidR="00AD7F64" w:rsidRPr="00AD7F64" w:rsidRDefault="00AD7F64" w:rsidP="00AD7F64">
      <w:pPr>
        <w:spacing w:line="240" w:lineRule="auto"/>
        <w:rPr>
          <w:rFonts w:ascii="Times New Roman" w:hAnsi="Times New Roman" w:cs="Times New Roman"/>
          <w:b/>
          <w:bCs/>
        </w:rPr>
      </w:pPr>
      <w:r w:rsidRPr="00AD7F64">
        <w:rPr>
          <w:rFonts w:ascii="Times New Roman" w:hAnsi="Times New Roman" w:cs="Times New Roman"/>
          <w:b/>
          <w:bCs/>
        </w:rPr>
        <w:br w:type="page"/>
      </w:r>
    </w:p>
    <w:p w14:paraId="12350A4E" w14:textId="178D9E5C" w:rsidR="00AD7F64" w:rsidRPr="00AD7F64" w:rsidRDefault="00AD7F64" w:rsidP="00AD7F64">
      <w:pPr>
        <w:pStyle w:val="a"/>
        <w:spacing w:before="156" w:after="156" w:line="240" w:lineRule="auto"/>
        <w:ind w:firstLineChars="0" w:firstLine="0"/>
        <w:jc w:val="left"/>
        <w:rPr>
          <w:b/>
          <w:bCs/>
        </w:rPr>
      </w:pPr>
      <w:r w:rsidRPr="00AD7F64">
        <w:rPr>
          <w:b/>
          <w:bCs/>
        </w:rPr>
        <w:lastRenderedPageBreak/>
        <w:t>Figure S2</w:t>
      </w:r>
      <w:r w:rsidR="00CB25A5">
        <w:rPr>
          <w:rFonts w:hint="eastAsia"/>
          <w:b/>
          <w:bCs/>
        </w:rPr>
        <w:t xml:space="preserve">. </w:t>
      </w:r>
      <w:r w:rsidR="00CB25A5" w:rsidRPr="00F81EF2">
        <w:rPr>
          <w:b/>
        </w:rPr>
        <w:t>Prediction-corrected visual predictive check (</w:t>
      </w:r>
      <w:proofErr w:type="spellStart"/>
      <w:r w:rsidR="00CB25A5" w:rsidRPr="00F81EF2">
        <w:rPr>
          <w:b/>
        </w:rPr>
        <w:t>pcVPC</w:t>
      </w:r>
      <w:proofErr w:type="spellEnd"/>
      <w:r w:rsidR="00CB25A5" w:rsidRPr="00F81EF2">
        <w:rPr>
          <w:b/>
        </w:rPr>
        <w:t>) for the overall population.</w:t>
      </w:r>
      <w:r w:rsidRPr="00AD7F64">
        <w:rPr>
          <w:noProof/>
        </w:rPr>
        <w:drawing>
          <wp:inline distT="0" distB="0" distL="0" distR="0" wp14:anchorId="1E01C42A" wp14:editId="44CF32F5">
            <wp:extent cx="5274310" cy="5209540"/>
            <wp:effectExtent l="0" t="0" r="2540" b="0"/>
            <wp:docPr id="896225040"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25040" name="Picture 1" descr="Graphical user interface&#10;&#10;AI-generated content may be incorrect."/>
                    <pic:cNvPicPr/>
                  </pic:nvPicPr>
                  <pic:blipFill>
                    <a:blip r:embed="rId11"/>
                    <a:stretch>
                      <a:fillRect/>
                    </a:stretch>
                  </pic:blipFill>
                  <pic:spPr>
                    <a:xfrm>
                      <a:off x="0" y="0"/>
                      <a:ext cx="5274310" cy="5209540"/>
                    </a:xfrm>
                    <a:prstGeom prst="rect">
                      <a:avLst/>
                    </a:prstGeom>
                  </pic:spPr>
                </pic:pic>
              </a:graphicData>
            </a:graphic>
          </wp:inline>
        </w:drawing>
      </w:r>
    </w:p>
    <w:p w14:paraId="17D91D0B" w14:textId="7E0D53DE" w:rsidR="00AD7F64" w:rsidRPr="00AD7F64" w:rsidRDefault="00CB25A5" w:rsidP="00AD7F64">
      <w:pPr>
        <w:pStyle w:val="a"/>
        <w:spacing w:before="156" w:after="156" w:line="240" w:lineRule="auto"/>
        <w:ind w:firstLineChars="0" w:firstLine="0"/>
        <w:rPr>
          <w:sz w:val="20"/>
          <w:szCs w:val="20"/>
        </w:rPr>
      </w:pPr>
      <w:r>
        <w:rPr>
          <w:rFonts w:hint="eastAsia"/>
          <w:sz w:val="20"/>
          <w:szCs w:val="20"/>
        </w:rPr>
        <w:t>O</w:t>
      </w:r>
      <w:r w:rsidR="00AD7F64" w:rsidRPr="00AD7F64">
        <w:rPr>
          <w:sz w:val="20"/>
          <w:szCs w:val="20"/>
        </w:rPr>
        <w:t>bserved 5th, 50th, and 95th percentiles of concentration–time data are overlaid with model-predicted median (solid line) and 95% prediction intervals (shaded areas). The agreement supports adequate predictive performance of the model across the pooled dataset.</w:t>
      </w:r>
    </w:p>
    <w:p w14:paraId="7F3BE624" w14:textId="77777777" w:rsidR="00AD7F64" w:rsidRPr="00AD7F64" w:rsidRDefault="00AD7F64" w:rsidP="00AD7F64">
      <w:pPr>
        <w:pStyle w:val="a"/>
        <w:spacing w:before="156" w:after="156" w:line="240" w:lineRule="auto"/>
        <w:ind w:firstLineChars="250" w:firstLine="630"/>
        <w:jc w:val="left"/>
        <w:rPr>
          <w:b/>
          <w:bCs/>
        </w:rPr>
      </w:pPr>
    </w:p>
    <w:p w14:paraId="37F8E74B" w14:textId="77777777" w:rsidR="00AD7F64" w:rsidRPr="00AD7F64" w:rsidRDefault="00AD7F64" w:rsidP="00AD7F64">
      <w:pPr>
        <w:pStyle w:val="a"/>
        <w:spacing w:before="156" w:after="156" w:line="240" w:lineRule="auto"/>
        <w:ind w:firstLineChars="250" w:firstLine="630"/>
        <w:jc w:val="left"/>
        <w:rPr>
          <w:b/>
          <w:bCs/>
        </w:rPr>
      </w:pPr>
    </w:p>
    <w:p w14:paraId="62CDF798" w14:textId="77777777" w:rsidR="00AD7F64" w:rsidRPr="00AD7F64" w:rsidRDefault="00AD7F64" w:rsidP="00AD7F64">
      <w:pPr>
        <w:pStyle w:val="a"/>
        <w:spacing w:before="156" w:after="156" w:line="240" w:lineRule="auto"/>
        <w:ind w:firstLineChars="250" w:firstLine="630"/>
        <w:jc w:val="left"/>
        <w:rPr>
          <w:b/>
          <w:bCs/>
        </w:rPr>
      </w:pPr>
    </w:p>
    <w:p w14:paraId="12A069C6" w14:textId="77777777" w:rsidR="00AD7F64" w:rsidRPr="00AD7F64" w:rsidRDefault="00AD7F64" w:rsidP="00AD7F64">
      <w:pPr>
        <w:pStyle w:val="a"/>
        <w:spacing w:before="156" w:after="156" w:line="240" w:lineRule="auto"/>
        <w:ind w:firstLineChars="250" w:firstLine="630"/>
        <w:jc w:val="left"/>
        <w:rPr>
          <w:b/>
          <w:bCs/>
        </w:rPr>
      </w:pPr>
    </w:p>
    <w:p w14:paraId="2F068575" w14:textId="77777777" w:rsidR="00AD7F64" w:rsidRPr="00AD7F64" w:rsidRDefault="00AD7F64" w:rsidP="00AD7F64">
      <w:pPr>
        <w:pStyle w:val="a"/>
        <w:spacing w:before="156" w:after="156" w:line="240" w:lineRule="auto"/>
        <w:ind w:firstLineChars="250" w:firstLine="630"/>
        <w:jc w:val="left"/>
        <w:rPr>
          <w:b/>
          <w:bCs/>
        </w:rPr>
      </w:pPr>
    </w:p>
    <w:p w14:paraId="283A99A5" w14:textId="77777777" w:rsidR="00AD7F64" w:rsidRPr="00AD7F64" w:rsidRDefault="00AD7F64" w:rsidP="00AD7F64">
      <w:pPr>
        <w:pStyle w:val="a"/>
        <w:spacing w:before="156" w:after="156" w:line="240" w:lineRule="auto"/>
        <w:ind w:firstLineChars="250" w:firstLine="630"/>
        <w:jc w:val="left"/>
        <w:rPr>
          <w:b/>
          <w:bCs/>
        </w:rPr>
      </w:pPr>
    </w:p>
    <w:p w14:paraId="6B2514FF" w14:textId="77777777" w:rsidR="00AD7F64" w:rsidRPr="00AD7F64" w:rsidRDefault="00AD7F64" w:rsidP="00AD7F64">
      <w:pPr>
        <w:pStyle w:val="a"/>
        <w:spacing w:before="156" w:after="156" w:line="240" w:lineRule="auto"/>
        <w:ind w:firstLineChars="250" w:firstLine="630"/>
        <w:jc w:val="left"/>
        <w:rPr>
          <w:b/>
          <w:bCs/>
        </w:rPr>
      </w:pPr>
    </w:p>
    <w:p w14:paraId="08A37479" w14:textId="77777777" w:rsidR="00AD7F64" w:rsidRPr="00AD7F64" w:rsidRDefault="00AD7F64" w:rsidP="00AD7F64">
      <w:pPr>
        <w:pStyle w:val="a"/>
        <w:spacing w:before="156" w:after="156" w:line="240" w:lineRule="auto"/>
        <w:ind w:firstLineChars="250" w:firstLine="630"/>
        <w:jc w:val="left"/>
        <w:rPr>
          <w:b/>
          <w:bCs/>
        </w:rPr>
      </w:pPr>
    </w:p>
    <w:p w14:paraId="01B806ED" w14:textId="77777777" w:rsidR="00AD7F64" w:rsidRPr="00AD7F64" w:rsidRDefault="00AD7F64" w:rsidP="00AD7F64">
      <w:pPr>
        <w:pStyle w:val="a"/>
        <w:spacing w:before="156" w:after="156" w:line="240" w:lineRule="auto"/>
        <w:ind w:firstLineChars="250" w:firstLine="630"/>
        <w:jc w:val="left"/>
        <w:rPr>
          <w:b/>
          <w:bCs/>
        </w:rPr>
      </w:pPr>
    </w:p>
    <w:p w14:paraId="50C1CC59" w14:textId="198CD925" w:rsidR="00AD7F64" w:rsidRPr="00CB25A5" w:rsidRDefault="00AD7F64" w:rsidP="00AD7F64">
      <w:pPr>
        <w:pStyle w:val="a"/>
        <w:spacing w:before="156" w:after="156" w:line="240" w:lineRule="auto"/>
        <w:ind w:firstLineChars="0" w:firstLine="0"/>
        <w:jc w:val="left"/>
        <w:rPr>
          <w:b/>
          <w:bCs/>
        </w:rPr>
      </w:pPr>
      <w:r w:rsidRPr="00CB25A5">
        <w:rPr>
          <w:b/>
          <w:bCs/>
        </w:rPr>
        <w:lastRenderedPageBreak/>
        <w:t>Figure S3</w:t>
      </w:r>
      <w:r w:rsidR="00CB25A5" w:rsidRPr="00CB25A5">
        <w:rPr>
          <w:rFonts w:hint="eastAsia"/>
          <w:b/>
          <w:bCs/>
        </w:rPr>
        <w:t xml:space="preserve">. </w:t>
      </w:r>
      <w:r w:rsidR="00CB25A5" w:rsidRPr="00F81EF2">
        <w:rPr>
          <w:b/>
        </w:rPr>
        <w:t xml:space="preserve">Sensitivity analysis </w:t>
      </w:r>
      <w:r w:rsidR="00F55309">
        <w:rPr>
          <w:b/>
          <w:bCs/>
        </w:rPr>
        <w:t>of</w:t>
      </w:r>
      <w:r w:rsidR="00F55309" w:rsidRPr="00F81EF2">
        <w:rPr>
          <w:b/>
        </w:rPr>
        <w:t xml:space="preserve"> the influence of significant covariates on first</w:t>
      </w:r>
      <w:r w:rsidR="00F55309">
        <w:rPr>
          <w:b/>
          <w:bCs/>
        </w:rPr>
        <w:t>-</w:t>
      </w:r>
      <w:r w:rsidR="00F55309" w:rsidRPr="00F81EF2">
        <w:rPr>
          <w:b/>
        </w:rPr>
        <w:t>dose</w:t>
      </w:r>
      <w:r w:rsidR="00CB25A5" w:rsidRPr="00F81EF2">
        <w:rPr>
          <w:b/>
        </w:rPr>
        <w:t xml:space="preserve"> exposure (</w:t>
      </w:r>
      <w:r w:rsidR="00CB25A5" w:rsidRPr="00CB25A5">
        <w:rPr>
          <w:b/>
          <w:bCs/>
        </w:rPr>
        <w:t>C</w:t>
      </w:r>
      <w:r w:rsidR="00CB25A5" w:rsidRPr="00CB25A5">
        <w:rPr>
          <w:rFonts w:hint="eastAsia"/>
          <w:b/>
          <w:bCs/>
        </w:rPr>
        <w:t>avg1</w:t>
      </w:r>
      <w:r w:rsidR="00CB25A5" w:rsidRPr="00F81EF2">
        <w:rPr>
          <w:b/>
        </w:rPr>
        <w:t>, Cmax1, and Cmin1).</w:t>
      </w:r>
    </w:p>
    <w:p w14:paraId="35C94E43" w14:textId="4D81FB29" w:rsidR="00AD7F64" w:rsidRPr="00AD7F64" w:rsidRDefault="0066399B" w:rsidP="0066399B">
      <w:pPr>
        <w:pStyle w:val="a"/>
        <w:spacing w:before="156" w:after="156" w:line="240" w:lineRule="auto"/>
        <w:ind w:firstLineChars="79" w:firstLine="198"/>
        <w:jc w:val="left"/>
        <w:rPr>
          <w:b/>
          <w:bCs/>
        </w:rPr>
      </w:pPr>
      <w:r>
        <w:rPr>
          <w:noProof/>
        </w:rPr>
        <w:drawing>
          <wp:inline distT="0" distB="0" distL="0" distR="0" wp14:anchorId="5A31AFAE" wp14:editId="0021BE1A">
            <wp:extent cx="5274310" cy="4649470"/>
            <wp:effectExtent l="0" t="0" r="2540" b="0"/>
            <wp:docPr id="62825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hqprint">
                      <a:extLst>
                        <a:ext uri="{28A0092B-C50C-407E-A947-70E740481C1C}">
                          <a14:useLocalDpi xmlns:a14="http://schemas.microsoft.com/office/drawing/2010/main" val="0"/>
                        </a:ext>
                      </a:extLst>
                    </a:blip>
                    <a:srcRect/>
                    <a:stretch>
                      <a:fillRect/>
                    </a:stretch>
                  </pic:blipFill>
                  <pic:spPr bwMode="auto">
                    <a:xfrm>
                      <a:off x="0" y="0"/>
                      <a:ext cx="5274310" cy="4649470"/>
                    </a:xfrm>
                    <a:prstGeom prst="rect">
                      <a:avLst/>
                    </a:prstGeom>
                    <a:noFill/>
                    <a:ln>
                      <a:noFill/>
                    </a:ln>
                  </pic:spPr>
                </pic:pic>
              </a:graphicData>
            </a:graphic>
          </wp:inline>
        </w:drawing>
      </w:r>
    </w:p>
    <w:p w14:paraId="06CC2607" w14:textId="77777777" w:rsidR="00AD7F64" w:rsidRPr="00AD7F64" w:rsidRDefault="00AD7F64" w:rsidP="00AD7F64">
      <w:pPr>
        <w:pStyle w:val="a"/>
        <w:spacing w:before="156" w:after="156" w:line="240" w:lineRule="auto"/>
        <w:ind w:firstLineChars="250" w:firstLine="630"/>
        <w:jc w:val="left"/>
        <w:rPr>
          <w:b/>
          <w:bCs/>
        </w:rPr>
      </w:pPr>
    </w:p>
    <w:p w14:paraId="60DB8B2B" w14:textId="77D374C7" w:rsidR="00AD7F64" w:rsidRPr="00AD7F64" w:rsidRDefault="00CB25A5" w:rsidP="00AD7F64">
      <w:pPr>
        <w:pStyle w:val="a"/>
        <w:spacing w:before="156" w:after="156" w:line="240" w:lineRule="auto"/>
        <w:ind w:firstLineChars="0" w:firstLine="0"/>
        <w:rPr>
          <w:sz w:val="21"/>
          <w:szCs w:val="21"/>
        </w:rPr>
      </w:pPr>
      <w:r>
        <w:rPr>
          <w:rFonts w:hint="eastAsia"/>
          <w:color w:val="auto"/>
          <w:sz w:val="21"/>
          <w:szCs w:val="21"/>
        </w:rPr>
        <w:t>T</w:t>
      </w:r>
      <w:r w:rsidR="00AD7F64" w:rsidRPr="00AD7F64">
        <w:rPr>
          <w:color w:val="auto"/>
          <w:sz w:val="21"/>
          <w:szCs w:val="21"/>
        </w:rPr>
        <w:t>he vertical black line represents the predicted exposure of a typical subject after the first dose. The pink shaded bars indicate the 5</w:t>
      </w:r>
      <w:r w:rsidR="00AD7F64" w:rsidRPr="00AD7F64">
        <w:rPr>
          <w:color w:val="auto"/>
          <w:sz w:val="21"/>
          <w:szCs w:val="21"/>
          <w:vertAlign w:val="superscript"/>
        </w:rPr>
        <w:t>th</w:t>
      </w:r>
      <w:r w:rsidR="00AD7F64" w:rsidRPr="00AD7F64">
        <w:rPr>
          <w:color w:val="auto"/>
          <w:sz w:val="21"/>
          <w:szCs w:val="21"/>
        </w:rPr>
        <w:t>–95</w:t>
      </w:r>
      <w:r w:rsidR="00AD7F64" w:rsidRPr="00AD7F64">
        <w:rPr>
          <w:color w:val="auto"/>
          <w:sz w:val="21"/>
          <w:szCs w:val="21"/>
          <w:vertAlign w:val="superscript"/>
        </w:rPr>
        <w:t>th</w:t>
      </w:r>
      <w:r w:rsidR="00AD7F64" w:rsidRPr="00AD7F64">
        <w:rPr>
          <w:color w:val="auto"/>
          <w:sz w:val="21"/>
          <w:szCs w:val="21"/>
        </w:rPr>
        <w:t xml:space="preserve"> percentile range of population exposure. Each blue bar represents the effect of a covariate, with labels showing the 10</w:t>
      </w:r>
      <w:r w:rsidR="00AD7F64" w:rsidRPr="00AD7F64">
        <w:rPr>
          <w:color w:val="auto"/>
          <w:sz w:val="21"/>
          <w:szCs w:val="21"/>
          <w:vertAlign w:val="superscript"/>
        </w:rPr>
        <w:t>th</w:t>
      </w:r>
      <w:r w:rsidR="00AD7F64" w:rsidRPr="00AD7F64">
        <w:rPr>
          <w:color w:val="auto"/>
          <w:sz w:val="21"/>
          <w:szCs w:val="21"/>
        </w:rPr>
        <w:t xml:space="preserve"> and 90</w:t>
      </w:r>
      <w:r w:rsidR="00AD7F64" w:rsidRPr="00AD7F64">
        <w:rPr>
          <w:color w:val="auto"/>
          <w:sz w:val="21"/>
          <w:szCs w:val="21"/>
          <w:vertAlign w:val="superscript"/>
        </w:rPr>
        <w:t>th</w:t>
      </w:r>
      <w:r w:rsidR="00AD7F64" w:rsidRPr="00AD7F64">
        <w:rPr>
          <w:color w:val="auto"/>
          <w:sz w:val="21"/>
          <w:szCs w:val="21"/>
        </w:rPr>
        <w:t xml:space="preserve"> percentile exposure changes relative to the reference.</w:t>
      </w:r>
    </w:p>
    <w:p w14:paraId="6176EC67" w14:textId="77777777" w:rsidR="00AD7F64" w:rsidRPr="00AD7F64" w:rsidRDefault="00AD7F64" w:rsidP="00AD7F64">
      <w:pPr>
        <w:pStyle w:val="a"/>
        <w:spacing w:before="156" w:after="156" w:line="240" w:lineRule="auto"/>
        <w:ind w:firstLineChars="250" w:firstLine="630"/>
        <w:jc w:val="left"/>
        <w:rPr>
          <w:b/>
          <w:bCs/>
        </w:rPr>
      </w:pPr>
    </w:p>
    <w:p w14:paraId="2A5807F5" w14:textId="77777777" w:rsidR="00AD7F64" w:rsidRPr="00AD7F64" w:rsidRDefault="00AD7F64" w:rsidP="00AD7F64">
      <w:pPr>
        <w:pStyle w:val="a"/>
        <w:spacing w:before="156" w:after="156" w:line="240" w:lineRule="auto"/>
        <w:ind w:firstLineChars="250" w:firstLine="630"/>
        <w:jc w:val="left"/>
        <w:rPr>
          <w:b/>
          <w:bCs/>
        </w:rPr>
      </w:pPr>
    </w:p>
    <w:p w14:paraId="0E3601FF" w14:textId="77777777" w:rsidR="00AD7F64" w:rsidRPr="00AD7F64" w:rsidRDefault="00AD7F64" w:rsidP="00AD7F64">
      <w:pPr>
        <w:pStyle w:val="a"/>
        <w:spacing w:before="156" w:after="156" w:line="240" w:lineRule="auto"/>
        <w:ind w:firstLineChars="250" w:firstLine="630"/>
        <w:jc w:val="left"/>
        <w:rPr>
          <w:b/>
          <w:bCs/>
        </w:rPr>
      </w:pPr>
    </w:p>
    <w:p w14:paraId="48F74BC2" w14:textId="77777777" w:rsidR="00AD7F64" w:rsidRPr="00AD7F64" w:rsidRDefault="00AD7F64" w:rsidP="00AD7F64">
      <w:pPr>
        <w:pStyle w:val="a"/>
        <w:spacing w:before="156" w:after="156" w:line="240" w:lineRule="auto"/>
        <w:ind w:firstLineChars="250" w:firstLine="630"/>
        <w:jc w:val="left"/>
        <w:rPr>
          <w:b/>
          <w:bCs/>
        </w:rPr>
      </w:pPr>
    </w:p>
    <w:p w14:paraId="52222D30" w14:textId="77777777" w:rsidR="00AD7F64" w:rsidRPr="00AD7F64" w:rsidRDefault="00AD7F64" w:rsidP="00AD7F64">
      <w:pPr>
        <w:pStyle w:val="a"/>
        <w:spacing w:before="156" w:after="156" w:line="240" w:lineRule="auto"/>
        <w:ind w:firstLineChars="250" w:firstLine="630"/>
        <w:jc w:val="left"/>
        <w:rPr>
          <w:b/>
          <w:bCs/>
        </w:rPr>
      </w:pPr>
    </w:p>
    <w:p w14:paraId="37899F75" w14:textId="77777777" w:rsidR="00AD7F64" w:rsidRPr="00FA74DE" w:rsidRDefault="00AD7F64" w:rsidP="00061D71">
      <w:pPr>
        <w:pStyle w:val="a"/>
        <w:spacing w:before="156" w:after="156" w:line="240" w:lineRule="auto"/>
        <w:ind w:firstLineChars="0" w:firstLine="0"/>
        <w:jc w:val="left"/>
        <w:rPr>
          <w:b/>
        </w:rPr>
      </w:pPr>
      <w:r>
        <w:rPr>
          <w:b/>
          <w:bCs/>
        </w:rPr>
        <w:br w:type="page"/>
      </w:r>
    </w:p>
    <w:p w14:paraId="042C70DE" w14:textId="42487E76" w:rsidR="00AD7F64" w:rsidRPr="00F81EF2" w:rsidRDefault="00AD7F64" w:rsidP="00F81EF2">
      <w:pPr>
        <w:pStyle w:val="a"/>
        <w:spacing w:before="156" w:after="156" w:line="240" w:lineRule="auto"/>
        <w:ind w:firstLineChars="0" w:firstLine="0"/>
        <w:jc w:val="left"/>
        <w:rPr>
          <w:b/>
        </w:rPr>
      </w:pPr>
      <w:r w:rsidRPr="00CB25A5">
        <w:rPr>
          <w:b/>
          <w:bCs/>
        </w:rPr>
        <w:lastRenderedPageBreak/>
        <w:t>Figure S4</w:t>
      </w:r>
      <w:r w:rsidR="00CB25A5" w:rsidRPr="00CB25A5">
        <w:rPr>
          <w:rFonts w:hint="eastAsia"/>
          <w:b/>
          <w:bCs/>
        </w:rPr>
        <w:t xml:space="preserve">. </w:t>
      </w:r>
      <w:r w:rsidR="00CB25A5" w:rsidRPr="00F81EF2">
        <w:rPr>
          <w:b/>
        </w:rPr>
        <w:t xml:space="preserve">Comparison of </w:t>
      </w:r>
      <w:r w:rsidR="00CB25A5" w:rsidRPr="00CB25A5">
        <w:rPr>
          <w:b/>
          <w:bCs/>
        </w:rPr>
        <w:t>steady-state exposure</w:t>
      </w:r>
      <w:r w:rsidR="00CB25A5" w:rsidRPr="00F81EF2">
        <w:rPr>
          <w:b/>
        </w:rPr>
        <w:t xml:space="preserve"> by baseline body-weight quartiles for flat-dose </w:t>
      </w:r>
      <w:r w:rsidR="00CB25A5" w:rsidRPr="00CB25A5">
        <w:rPr>
          <w:b/>
          <w:bCs/>
        </w:rPr>
        <w:t>versus weight</w:t>
      </w:r>
      <w:r w:rsidR="00CB25A5" w:rsidRPr="00F81EF2">
        <w:rPr>
          <w:b/>
        </w:rPr>
        <w:t>-based regimens.</w:t>
      </w:r>
    </w:p>
    <w:p w14:paraId="1B7C6A77" w14:textId="5BDFC606" w:rsidR="00CB25A5" w:rsidRPr="00CB25A5" w:rsidRDefault="0066399B" w:rsidP="00CB25A5">
      <w:pPr>
        <w:pStyle w:val="a"/>
        <w:spacing w:before="156" w:after="156" w:line="240" w:lineRule="auto"/>
        <w:ind w:firstLineChars="0" w:firstLine="0"/>
        <w:jc w:val="left"/>
        <w:rPr>
          <w:b/>
          <w:bCs/>
        </w:rPr>
      </w:pPr>
      <w:r>
        <w:rPr>
          <w:noProof/>
        </w:rPr>
        <w:drawing>
          <wp:inline distT="0" distB="0" distL="0" distR="0" wp14:anchorId="0715CCED" wp14:editId="30FF4DCB">
            <wp:extent cx="5274310" cy="4615180"/>
            <wp:effectExtent l="0" t="0" r="2540" b="0"/>
            <wp:docPr id="2147428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4615180"/>
                    </a:xfrm>
                    <a:prstGeom prst="rect">
                      <a:avLst/>
                    </a:prstGeom>
                    <a:noFill/>
                    <a:ln>
                      <a:noFill/>
                    </a:ln>
                  </pic:spPr>
                </pic:pic>
              </a:graphicData>
            </a:graphic>
          </wp:inline>
        </w:drawing>
      </w:r>
      <w:r w:rsidR="00CB25A5" w:rsidRPr="00CB25A5">
        <w:rPr>
          <w:sz w:val="21"/>
          <w:szCs w:val="21"/>
        </w:rPr>
        <w:t xml:space="preserve"> </w:t>
      </w:r>
      <w:r w:rsidR="00CB25A5" w:rsidRPr="00CB25A5">
        <w:rPr>
          <w:sz w:val="18"/>
          <w:szCs w:val="18"/>
        </w:rPr>
        <w:t>Simulated steady-state average concentrations (</w:t>
      </w:r>
      <w:proofErr w:type="spellStart"/>
      <w:proofErr w:type="gramStart"/>
      <w:r w:rsidR="00CB25A5" w:rsidRPr="00CB25A5">
        <w:rPr>
          <w:sz w:val="18"/>
          <w:szCs w:val="18"/>
        </w:rPr>
        <w:t>C</w:t>
      </w:r>
      <w:r w:rsidR="00CB25A5" w:rsidRPr="00CB25A5">
        <w:rPr>
          <w:rFonts w:hint="eastAsia"/>
          <w:sz w:val="18"/>
          <w:szCs w:val="18"/>
          <w:vertAlign w:val="subscript"/>
        </w:rPr>
        <w:t>avg,ss</w:t>
      </w:r>
      <w:proofErr w:type="spellEnd"/>
      <w:proofErr w:type="gramEnd"/>
      <w:r w:rsidR="00CB25A5" w:rsidRPr="00CB25A5">
        <w:rPr>
          <w:sz w:val="18"/>
          <w:szCs w:val="18"/>
        </w:rPr>
        <w:t>) were stratified by baseline body-weight quartiles (Q1–Q4). Comparisons are shown separately for the Q2W regimens (200 mg Q2W vs. 3 mg/kg Q2W) and the Q3W regimens (300 mg Q3W vs. 4.5 mg/kg Q3W).</w:t>
      </w:r>
      <w:r w:rsidR="00CB25A5">
        <w:rPr>
          <w:rFonts w:hint="eastAsia"/>
          <w:sz w:val="18"/>
          <w:szCs w:val="18"/>
        </w:rPr>
        <w:t xml:space="preserve"> </w:t>
      </w:r>
      <w:r w:rsidR="00CB25A5" w:rsidRPr="00CB25A5">
        <w:rPr>
          <w:sz w:val="18"/>
          <w:szCs w:val="18"/>
        </w:rPr>
        <w:t>Within each dosing frequency, each subject was simulated under both dosing regimens; therefore, subjects contribute to both dosing groups within the same panel. One subject without baseline body-weight information was excluded, resulting in a total of 4,218 observations per dosing frequency (2,109 subjects × 2 regimens).</w:t>
      </w:r>
    </w:p>
    <w:p w14:paraId="12D813A8" w14:textId="77777777" w:rsidR="00AD7F64" w:rsidRPr="00CB25A5" w:rsidRDefault="00AD7F64" w:rsidP="00AD7F64">
      <w:pPr>
        <w:pStyle w:val="a"/>
        <w:spacing w:before="156" w:after="156" w:line="240" w:lineRule="auto"/>
        <w:ind w:firstLineChars="250" w:firstLine="630"/>
        <w:jc w:val="left"/>
        <w:rPr>
          <w:b/>
          <w:bCs/>
        </w:rPr>
      </w:pPr>
    </w:p>
    <w:p w14:paraId="0676D705" w14:textId="77777777" w:rsidR="00AD7F64" w:rsidRPr="00AD7F64" w:rsidRDefault="00AD7F64" w:rsidP="00AD7F64">
      <w:pPr>
        <w:pStyle w:val="a"/>
        <w:spacing w:before="156" w:after="156" w:line="240" w:lineRule="auto"/>
        <w:ind w:firstLineChars="250" w:firstLine="630"/>
        <w:jc w:val="left"/>
        <w:rPr>
          <w:b/>
          <w:bCs/>
        </w:rPr>
      </w:pPr>
    </w:p>
    <w:p w14:paraId="18239D21" w14:textId="77777777" w:rsidR="00AD7F64" w:rsidRPr="00AD7F64" w:rsidRDefault="00AD7F64" w:rsidP="00AD7F64">
      <w:pPr>
        <w:pStyle w:val="a"/>
        <w:spacing w:before="156" w:after="156" w:line="240" w:lineRule="auto"/>
        <w:ind w:firstLineChars="250" w:firstLine="630"/>
        <w:jc w:val="left"/>
        <w:rPr>
          <w:b/>
          <w:bCs/>
        </w:rPr>
      </w:pPr>
    </w:p>
    <w:p w14:paraId="294FCB50" w14:textId="77777777" w:rsidR="00AD7F64" w:rsidRPr="00AD7F64" w:rsidRDefault="00AD7F64" w:rsidP="00AD7F64">
      <w:pPr>
        <w:pStyle w:val="a"/>
        <w:spacing w:before="156" w:after="156" w:line="240" w:lineRule="auto"/>
        <w:ind w:firstLineChars="250" w:firstLine="630"/>
        <w:jc w:val="left"/>
        <w:rPr>
          <w:b/>
          <w:bCs/>
        </w:rPr>
      </w:pPr>
    </w:p>
    <w:p w14:paraId="75378B1C" w14:textId="77777777" w:rsidR="00AD7F64" w:rsidRPr="00AD7F64" w:rsidRDefault="00AD7F64" w:rsidP="00AD7F64">
      <w:pPr>
        <w:pStyle w:val="a"/>
        <w:spacing w:before="156" w:after="156" w:line="240" w:lineRule="auto"/>
        <w:ind w:firstLineChars="250" w:firstLine="630"/>
        <w:jc w:val="left"/>
        <w:rPr>
          <w:b/>
          <w:bCs/>
        </w:rPr>
      </w:pPr>
    </w:p>
    <w:p w14:paraId="6EE0A336" w14:textId="77777777" w:rsidR="00AD7F64" w:rsidRPr="00AD7F64" w:rsidRDefault="00AD7F64" w:rsidP="00AD7F64">
      <w:pPr>
        <w:pStyle w:val="a"/>
        <w:spacing w:before="156" w:after="156" w:line="240" w:lineRule="auto"/>
        <w:ind w:firstLineChars="250" w:firstLine="630"/>
        <w:jc w:val="left"/>
        <w:rPr>
          <w:b/>
          <w:bCs/>
        </w:rPr>
      </w:pPr>
    </w:p>
    <w:p w14:paraId="3AE23A24" w14:textId="77777777" w:rsidR="00AD7F64" w:rsidRPr="00AD7F64" w:rsidRDefault="00AD7F64" w:rsidP="00AD7F64">
      <w:pPr>
        <w:pStyle w:val="a"/>
        <w:spacing w:before="156" w:after="156" w:line="240" w:lineRule="auto"/>
        <w:ind w:firstLineChars="250" w:firstLine="630"/>
        <w:jc w:val="left"/>
        <w:rPr>
          <w:b/>
          <w:bCs/>
        </w:rPr>
      </w:pPr>
    </w:p>
    <w:p w14:paraId="4B8B5063" w14:textId="77777777" w:rsidR="00AD7F64" w:rsidRDefault="00AD7F64">
      <w:pPr>
        <w:widowControl/>
        <w:rPr>
          <w:rFonts w:ascii="Times New Roman" w:eastAsia="宋体" w:hAnsi="Times New Roman" w:cs="Times New Roman"/>
          <w:b/>
          <w:bCs/>
          <w:color w:val="000000" w:themeColor="text1"/>
          <w:w w:val="105"/>
          <w:kern w:val="24"/>
          <w:sz w:val="24"/>
          <w14:ligatures w14:val="none"/>
        </w:rPr>
      </w:pPr>
      <w:r>
        <w:rPr>
          <w:b/>
          <w:bCs/>
        </w:rPr>
        <w:br w:type="page"/>
      </w:r>
    </w:p>
    <w:p w14:paraId="13DD43BC" w14:textId="35B7141C" w:rsidR="00AD7F64" w:rsidRPr="00AD7F64" w:rsidRDefault="00AD7F64" w:rsidP="00AD7F64">
      <w:pPr>
        <w:pStyle w:val="a"/>
        <w:spacing w:before="156" w:after="156" w:line="240" w:lineRule="auto"/>
        <w:ind w:firstLineChars="0" w:firstLine="0"/>
        <w:jc w:val="left"/>
        <w:rPr>
          <w:b/>
          <w:bCs/>
        </w:rPr>
      </w:pPr>
      <w:r w:rsidRPr="00AD7F64">
        <w:rPr>
          <w:b/>
          <w:bCs/>
        </w:rPr>
        <w:lastRenderedPageBreak/>
        <w:t>Figure S5</w:t>
      </w:r>
    </w:p>
    <w:p w14:paraId="2A7C2FCE" w14:textId="77777777" w:rsidR="00AD7F64" w:rsidRPr="00AD7F64" w:rsidRDefault="00AD7F64" w:rsidP="00F81EF2">
      <w:pPr>
        <w:pStyle w:val="a"/>
        <w:spacing w:before="156" w:after="156" w:line="240" w:lineRule="auto"/>
        <w:ind w:firstLineChars="0" w:firstLine="0"/>
        <w:jc w:val="left"/>
        <w:rPr>
          <w:b/>
          <w:bCs/>
        </w:rPr>
      </w:pPr>
      <w:r w:rsidRPr="00AD7F64">
        <w:rPr>
          <w:noProof/>
        </w:rPr>
        <w:drawing>
          <wp:inline distT="0" distB="0" distL="0" distR="0" wp14:anchorId="4B6AC5C5" wp14:editId="5A31FD11">
            <wp:extent cx="5274310" cy="3500755"/>
            <wp:effectExtent l="0" t="0" r="2540" b="4445"/>
            <wp:docPr id="1713328530" name="Picture 1" descr="Chart,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28530" name="Picture 1" descr="Chart, bar chart&#10;&#10;AI-generated content may be incorrect."/>
                    <pic:cNvPicPr/>
                  </pic:nvPicPr>
                  <pic:blipFill>
                    <a:blip r:embed="rId14"/>
                    <a:stretch>
                      <a:fillRect/>
                    </a:stretch>
                  </pic:blipFill>
                  <pic:spPr>
                    <a:xfrm>
                      <a:off x="0" y="0"/>
                      <a:ext cx="5274310" cy="3500755"/>
                    </a:xfrm>
                    <a:prstGeom prst="rect">
                      <a:avLst/>
                    </a:prstGeom>
                  </pic:spPr>
                </pic:pic>
              </a:graphicData>
            </a:graphic>
          </wp:inline>
        </w:drawing>
      </w:r>
    </w:p>
    <w:p w14:paraId="7942C7A0" w14:textId="77777777" w:rsidR="00AD7F64" w:rsidRPr="00AD7F64" w:rsidRDefault="00AD7F64" w:rsidP="00AD7F64">
      <w:pPr>
        <w:pStyle w:val="a"/>
        <w:spacing w:before="156" w:after="156" w:line="240" w:lineRule="auto"/>
        <w:ind w:firstLineChars="0" w:firstLine="0"/>
        <w:rPr>
          <w:b/>
          <w:bCs/>
        </w:rPr>
      </w:pPr>
      <w:r w:rsidRPr="00AD7F64">
        <w:rPr>
          <w:sz w:val="20"/>
          <w:szCs w:val="20"/>
        </w:rPr>
        <w:t xml:space="preserve">Predicted probability of G3TEAEs, G3TRAE, SAEs, AESIs, and </w:t>
      </w:r>
      <w:proofErr w:type="spellStart"/>
      <w:r w:rsidRPr="00AD7F64">
        <w:rPr>
          <w:sz w:val="20"/>
          <w:szCs w:val="20"/>
        </w:rPr>
        <w:t>irAEs</w:t>
      </w:r>
      <w:proofErr w:type="spellEnd"/>
      <w:r w:rsidRPr="00AD7F64">
        <w:rPr>
          <w:sz w:val="20"/>
          <w:szCs w:val="20"/>
        </w:rPr>
        <w:t xml:space="preserve"> derived from exposure–response logistic regression models using Cmax1 as the exposure metric. G3TEAE: grade ≥3 treatment-emergent AEs; G3TRAE: grade ≥3 treatment-related AEs; SAE: serious AEs; AESI: adverse events of special interest; IRAE: immune-related AEs.</w:t>
      </w:r>
    </w:p>
    <w:p w14:paraId="11F14482" w14:textId="77777777" w:rsidR="00AD7F64" w:rsidRPr="00AD7F64" w:rsidRDefault="00AD7F64" w:rsidP="00AD7F64">
      <w:pPr>
        <w:spacing w:line="240" w:lineRule="auto"/>
        <w:rPr>
          <w:rFonts w:ascii="Times New Roman" w:hAnsi="Times New Roman" w:cs="Times New Roman"/>
          <w:b/>
          <w:bCs/>
        </w:rPr>
      </w:pPr>
    </w:p>
    <w:p w14:paraId="575DDA34" w14:textId="409A1F5F" w:rsidR="00A278EF" w:rsidRPr="00AD7F64" w:rsidRDefault="00A278EF" w:rsidP="00AD7F64">
      <w:pPr>
        <w:spacing w:line="240" w:lineRule="auto"/>
        <w:rPr>
          <w:rFonts w:ascii="Times New Roman" w:hAnsi="Times New Roman" w:cs="Times New Roman"/>
          <w:color w:val="EE0000"/>
        </w:rPr>
      </w:pPr>
    </w:p>
    <w:sectPr w:rsidR="00A278EF" w:rsidRPr="00AD7F64">
      <w:headerReference w:type="default" r:id="rId1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B0CA4" w14:textId="77777777" w:rsidR="00622350" w:rsidRDefault="00622350">
      <w:pPr>
        <w:spacing w:after="0" w:line="240" w:lineRule="auto"/>
      </w:pPr>
      <w:r>
        <w:separator/>
      </w:r>
    </w:p>
  </w:endnote>
  <w:endnote w:type="continuationSeparator" w:id="0">
    <w:p w14:paraId="1A7F26FD" w14:textId="77777777" w:rsidR="00622350" w:rsidRDefault="00622350">
      <w:pPr>
        <w:spacing w:after="0" w:line="240" w:lineRule="auto"/>
      </w:pPr>
      <w:r>
        <w:continuationSeparator/>
      </w:r>
    </w:p>
  </w:endnote>
  <w:endnote w:type="continuationNotice" w:id="1">
    <w:p w14:paraId="0B0234DA" w14:textId="77777777" w:rsidR="00622350" w:rsidRDefault="006223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AE44" w14:textId="77777777" w:rsidR="008A5B2D" w:rsidRDefault="008A5B2D">
    <w:pPr>
      <w:pStyle w:val="Footer"/>
      <w:jc w:val="center"/>
    </w:pPr>
  </w:p>
  <w:p w14:paraId="4B2144E3" w14:textId="77777777" w:rsidR="008A5B2D" w:rsidRDefault="008A5B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28531" w14:textId="77777777" w:rsidR="00622350" w:rsidRDefault="00622350">
      <w:pPr>
        <w:spacing w:after="0" w:line="240" w:lineRule="auto"/>
      </w:pPr>
      <w:r>
        <w:separator/>
      </w:r>
    </w:p>
  </w:footnote>
  <w:footnote w:type="continuationSeparator" w:id="0">
    <w:p w14:paraId="28B5A48A" w14:textId="77777777" w:rsidR="00622350" w:rsidRDefault="00622350">
      <w:pPr>
        <w:spacing w:after="0" w:line="240" w:lineRule="auto"/>
      </w:pPr>
      <w:r>
        <w:continuationSeparator/>
      </w:r>
    </w:p>
  </w:footnote>
  <w:footnote w:type="continuationNotice" w:id="1">
    <w:p w14:paraId="589E305C" w14:textId="77777777" w:rsidR="00622350" w:rsidRDefault="006223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3909" w14:textId="77777777" w:rsidR="00FA74DE" w:rsidRDefault="00FA74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C0CC0"/>
    <w:multiLevelType w:val="hybridMultilevel"/>
    <w:tmpl w:val="B0762972"/>
    <w:lvl w:ilvl="0" w:tplc="F6C0AFB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7F867EF5"/>
    <w:multiLevelType w:val="multilevel"/>
    <w:tmpl w:val="DA742930"/>
    <w:lvl w:ilvl="0">
      <w:start w:val="1"/>
      <w:numFmt w:val="decimal"/>
      <w:lvlText w:val="%1"/>
      <w:lvlJc w:val="left"/>
      <w:pPr>
        <w:ind w:left="420" w:hanging="420"/>
      </w:pPr>
      <w:rPr>
        <w:rFonts w:hint="eastAsia"/>
      </w:rPr>
    </w:lvl>
    <w:lvl w:ilvl="1">
      <w:start w:val="1"/>
      <w:numFmt w:val="decimal"/>
      <w:isLgl/>
      <w:lvlText w:val="%1.%2"/>
      <w:lvlJc w:val="left"/>
      <w:pPr>
        <w:ind w:left="660" w:hanging="660"/>
      </w:pPr>
      <w:rPr>
        <w:rFonts w:hint="default"/>
        <w:b/>
        <w:bCs/>
      </w:rPr>
    </w:lvl>
    <w:lvl w:ilvl="2">
      <w:start w:val="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306861805">
    <w:abstractNumId w:val="1"/>
  </w:num>
  <w:num w:numId="2" w16cid:durableId="331030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79E"/>
    <w:rsid w:val="00006502"/>
    <w:rsid w:val="00012B34"/>
    <w:rsid w:val="00023485"/>
    <w:rsid w:val="00061D71"/>
    <w:rsid w:val="00091770"/>
    <w:rsid w:val="000D3786"/>
    <w:rsid w:val="000F57D2"/>
    <w:rsid w:val="00113933"/>
    <w:rsid w:val="00132B1A"/>
    <w:rsid w:val="00161066"/>
    <w:rsid w:val="00226590"/>
    <w:rsid w:val="0028491C"/>
    <w:rsid w:val="002A0D78"/>
    <w:rsid w:val="002D5CED"/>
    <w:rsid w:val="002D7024"/>
    <w:rsid w:val="003122A0"/>
    <w:rsid w:val="003A72F0"/>
    <w:rsid w:val="003C0A90"/>
    <w:rsid w:val="0040A952"/>
    <w:rsid w:val="00422022"/>
    <w:rsid w:val="0044517D"/>
    <w:rsid w:val="00481D0A"/>
    <w:rsid w:val="004D3AED"/>
    <w:rsid w:val="004F3930"/>
    <w:rsid w:val="00543047"/>
    <w:rsid w:val="0061753A"/>
    <w:rsid w:val="00622350"/>
    <w:rsid w:val="00641034"/>
    <w:rsid w:val="0066399B"/>
    <w:rsid w:val="00666D19"/>
    <w:rsid w:val="006749CB"/>
    <w:rsid w:val="007625B3"/>
    <w:rsid w:val="0081493F"/>
    <w:rsid w:val="008358E5"/>
    <w:rsid w:val="00842435"/>
    <w:rsid w:val="0084531F"/>
    <w:rsid w:val="00891829"/>
    <w:rsid w:val="00891CD0"/>
    <w:rsid w:val="008A5B2D"/>
    <w:rsid w:val="008D6DD6"/>
    <w:rsid w:val="00986E3E"/>
    <w:rsid w:val="009B59DE"/>
    <w:rsid w:val="00A11BFC"/>
    <w:rsid w:val="00A278EF"/>
    <w:rsid w:val="00A92208"/>
    <w:rsid w:val="00AB18BB"/>
    <w:rsid w:val="00AD7F64"/>
    <w:rsid w:val="00B217C7"/>
    <w:rsid w:val="00B4079E"/>
    <w:rsid w:val="00B41E3D"/>
    <w:rsid w:val="00C02103"/>
    <w:rsid w:val="00CB25A5"/>
    <w:rsid w:val="00D43B3D"/>
    <w:rsid w:val="00D95CD9"/>
    <w:rsid w:val="00E200B8"/>
    <w:rsid w:val="00E23BFD"/>
    <w:rsid w:val="00E566AB"/>
    <w:rsid w:val="00EB7EBB"/>
    <w:rsid w:val="00F12C27"/>
    <w:rsid w:val="00F31873"/>
    <w:rsid w:val="00F55309"/>
    <w:rsid w:val="00F618E0"/>
    <w:rsid w:val="00F81EF2"/>
    <w:rsid w:val="00FA74DE"/>
    <w:rsid w:val="00FD3E0E"/>
    <w:rsid w:val="00FE4AD9"/>
    <w:rsid w:val="020A29EC"/>
    <w:rsid w:val="09B96C61"/>
    <w:rsid w:val="0B6EB04A"/>
    <w:rsid w:val="0C4D3896"/>
    <w:rsid w:val="1045F942"/>
    <w:rsid w:val="14D4A6D2"/>
    <w:rsid w:val="1597E468"/>
    <w:rsid w:val="15B837DE"/>
    <w:rsid w:val="1D5695C6"/>
    <w:rsid w:val="1E0C1FEB"/>
    <w:rsid w:val="21B1CA31"/>
    <w:rsid w:val="226D8BC5"/>
    <w:rsid w:val="2823CA93"/>
    <w:rsid w:val="28E43D6A"/>
    <w:rsid w:val="28F6093F"/>
    <w:rsid w:val="2936B69A"/>
    <w:rsid w:val="2B2359B0"/>
    <w:rsid w:val="30C527A0"/>
    <w:rsid w:val="33C19955"/>
    <w:rsid w:val="3F7EDD16"/>
    <w:rsid w:val="3FC6194F"/>
    <w:rsid w:val="45A117C2"/>
    <w:rsid w:val="461DEF88"/>
    <w:rsid w:val="4BF83D33"/>
    <w:rsid w:val="4EBA7318"/>
    <w:rsid w:val="4F9FA9BC"/>
    <w:rsid w:val="4FFF3BFC"/>
    <w:rsid w:val="5136A218"/>
    <w:rsid w:val="561B5553"/>
    <w:rsid w:val="5911840D"/>
    <w:rsid w:val="5AB93D0D"/>
    <w:rsid w:val="5B75DF2E"/>
    <w:rsid w:val="60D78BBB"/>
    <w:rsid w:val="653E1B74"/>
    <w:rsid w:val="67E59876"/>
    <w:rsid w:val="69094505"/>
    <w:rsid w:val="692A8858"/>
    <w:rsid w:val="6AEB3C9B"/>
    <w:rsid w:val="6EB64CDA"/>
    <w:rsid w:val="6F8A09D9"/>
    <w:rsid w:val="70A75A5B"/>
    <w:rsid w:val="7399FBD8"/>
    <w:rsid w:val="7573A06B"/>
    <w:rsid w:val="77C0A93A"/>
    <w:rsid w:val="7B19C129"/>
    <w:rsid w:val="7BC00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CEBC0"/>
  <w14:defaultImageDpi w14:val="330"/>
  <w15:chartTrackingRefBased/>
  <w15:docId w15:val="{463E2F90-0C66-4B96-BAAD-7769B6BD9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B4079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4079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B4079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4079E"/>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4079E"/>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B4079E"/>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B4079E"/>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B4079E"/>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B4079E"/>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79E"/>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4079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4079E"/>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4079E"/>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4079E"/>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B4079E"/>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B4079E"/>
    <w:rPr>
      <w:rFonts w:cstheme="majorBidi"/>
      <w:b/>
      <w:bCs/>
      <w:color w:val="595959" w:themeColor="text1" w:themeTint="A6"/>
    </w:rPr>
  </w:style>
  <w:style w:type="character" w:customStyle="1" w:styleId="Heading8Char">
    <w:name w:val="Heading 8 Char"/>
    <w:basedOn w:val="DefaultParagraphFont"/>
    <w:link w:val="Heading8"/>
    <w:uiPriority w:val="9"/>
    <w:semiHidden/>
    <w:rsid w:val="00B4079E"/>
    <w:rPr>
      <w:rFonts w:cstheme="majorBidi"/>
      <w:color w:val="595959" w:themeColor="text1" w:themeTint="A6"/>
    </w:rPr>
  </w:style>
  <w:style w:type="character" w:customStyle="1" w:styleId="Heading9Char">
    <w:name w:val="Heading 9 Char"/>
    <w:basedOn w:val="DefaultParagraphFont"/>
    <w:link w:val="Heading9"/>
    <w:uiPriority w:val="9"/>
    <w:semiHidden/>
    <w:rsid w:val="00B4079E"/>
    <w:rPr>
      <w:rFonts w:eastAsiaTheme="majorEastAsia" w:cstheme="majorBidi"/>
      <w:color w:val="595959" w:themeColor="text1" w:themeTint="A6"/>
    </w:rPr>
  </w:style>
  <w:style w:type="paragraph" w:styleId="Title">
    <w:name w:val="Title"/>
    <w:basedOn w:val="Normal"/>
    <w:next w:val="Normal"/>
    <w:link w:val="TitleChar"/>
    <w:uiPriority w:val="10"/>
    <w:qFormat/>
    <w:rsid w:val="00B4079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7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79E"/>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4079E"/>
    <w:pPr>
      <w:spacing w:before="160"/>
      <w:jc w:val="center"/>
    </w:pPr>
    <w:rPr>
      <w:i/>
      <w:iCs/>
      <w:color w:val="404040" w:themeColor="text1" w:themeTint="BF"/>
    </w:rPr>
  </w:style>
  <w:style w:type="character" w:customStyle="1" w:styleId="QuoteChar">
    <w:name w:val="Quote Char"/>
    <w:basedOn w:val="DefaultParagraphFont"/>
    <w:link w:val="Quote"/>
    <w:uiPriority w:val="29"/>
    <w:rsid w:val="00B4079E"/>
    <w:rPr>
      <w:i/>
      <w:iCs/>
      <w:color w:val="404040" w:themeColor="text1" w:themeTint="BF"/>
    </w:rPr>
  </w:style>
  <w:style w:type="paragraph" w:styleId="ListParagraph">
    <w:name w:val="List Paragraph"/>
    <w:basedOn w:val="Normal"/>
    <w:uiPriority w:val="34"/>
    <w:qFormat/>
    <w:rsid w:val="00B4079E"/>
    <w:pPr>
      <w:ind w:left="720"/>
      <w:contextualSpacing/>
    </w:pPr>
  </w:style>
  <w:style w:type="character" w:styleId="IntenseEmphasis">
    <w:name w:val="Intense Emphasis"/>
    <w:basedOn w:val="DefaultParagraphFont"/>
    <w:uiPriority w:val="21"/>
    <w:qFormat/>
    <w:rsid w:val="00B4079E"/>
    <w:rPr>
      <w:i/>
      <w:iCs/>
      <w:color w:val="0F4761" w:themeColor="accent1" w:themeShade="BF"/>
    </w:rPr>
  </w:style>
  <w:style w:type="paragraph" w:styleId="IntenseQuote">
    <w:name w:val="Intense Quote"/>
    <w:basedOn w:val="Normal"/>
    <w:next w:val="Normal"/>
    <w:link w:val="IntenseQuoteChar"/>
    <w:uiPriority w:val="30"/>
    <w:qFormat/>
    <w:rsid w:val="00B40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79E"/>
    <w:rPr>
      <w:i/>
      <w:iCs/>
      <w:color w:val="0F4761" w:themeColor="accent1" w:themeShade="BF"/>
    </w:rPr>
  </w:style>
  <w:style w:type="character" w:styleId="IntenseReference">
    <w:name w:val="Intense Reference"/>
    <w:basedOn w:val="DefaultParagraphFont"/>
    <w:uiPriority w:val="32"/>
    <w:qFormat/>
    <w:rsid w:val="00B4079E"/>
    <w:rPr>
      <w:b/>
      <w:bCs/>
      <w:smallCaps/>
      <w:color w:val="0F4761" w:themeColor="accent1" w:themeShade="BF"/>
      <w:spacing w:val="5"/>
    </w:rPr>
  </w:style>
  <w:style w:type="paragraph" w:customStyle="1" w:styleId="a">
    <w:name w:val="正文自然段"/>
    <w:basedOn w:val="Normal"/>
    <w:link w:val="a0"/>
    <w:qFormat/>
    <w:rsid w:val="00B4079E"/>
    <w:pPr>
      <w:widowControl/>
      <w:adjustRightInd w:val="0"/>
      <w:snapToGrid w:val="0"/>
      <w:spacing w:beforeLines="50" w:before="50" w:afterLines="50" w:after="50" w:line="300" w:lineRule="auto"/>
      <w:ind w:firstLineChars="200" w:firstLine="200"/>
      <w:jc w:val="both"/>
    </w:pPr>
    <w:rPr>
      <w:rFonts w:ascii="Times New Roman" w:eastAsia="宋体" w:hAnsi="Times New Roman" w:cs="Times New Roman"/>
      <w:color w:val="000000" w:themeColor="text1"/>
      <w:w w:val="105"/>
      <w:kern w:val="24"/>
      <w:sz w:val="24"/>
      <w14:ligatures w14:val="none"/>
    </w:rPr>
  </w:style>
  <w:style w:type="character" w:customStyle="1" w:styleId="a0">
    <w:name w:val="正文自然段 字符"/>
    <w:basedOn w:val="DefaultParagraphFont"/>
    <w:link w:val="a"/>
    <w:qFormat/>
    <w:rsid w:val="00B4079E"/>
    <w:rPr>
      <w:rFonts w:ascii="Times New Roman" w:eastAsia="宋体" w:hAnsi="Times New Roman" w:cs="Times New Roman"/>
      <w:color w:val="000000" w:themeColor="text1"/>
      <w:w w:val="105"/>
      <w:kern w:val="24"/>
      <w:sz w:val="24"/>
      <w14:ligatures w14:val="none"/>
    </w:rPr>
  </w:style>
  <w:style w:type="paragraph" w:customStyle="1" w:styleId="a1">
    <w:name w:val="图表注释"/>
    <w:link w:val="a2"/>
    <w:qFormat/>
    <w:rsid w:val="00B4079E"/>
    <w:pPr>
      <w:adjustRightInd w:val="0"/>
      <w:snapToGrid w:val="0"/>
      <w:spacing w:before="120" w:after="120" w:line="240" w:lineRule="auto"/>
      <w:jc w:val="both"/>
    </w:pPr>
    <w:rPr>
      <w:rFonts w:ascii="Times New Roman" w:eastAsia="宋体" w:hAnsi="Times New Roman" w:cs="Times New Roman"/>
      <w:color w:val="000000" w:themeColor="text1"/>
      <w:w w:val="105"/>
      <w:kern w:val="0"/>
      <w:sz w:val="18"/>
      <w:szCs w:val="20"/>
      <w14:ligatures w14:val="none"/>
    </w:rPr>
  </w:style>
  <w:style w:type="character" w:customStyle="1" w:styleId="a2">
    <w:name w:val="图表注释 字符"/>
    <w:basedOn w:val="DefaultParagraphFont"/>
    <w:link w:val="a1"/>
    <w:qFormat/>
    <w:rsid w:val="00B4079E"/>
    <w:rPr>
      <w:rFonts w:ascii="Times New Roman" w:eastAsia="宋体" w:hAnsi="Times New Roman" w:cs="Times New Roman"/>
      <w:color w:val="000000" w:themeColor="text1"/>
      <w:w w:val="105"/>
      <w:kern w:val="0"/>
      <w:sz w:val="18"/>
      <w:szCs w:val="20"/>
      <w14:ligatures w14:val="none"/>
    </w:rPr>
  </w:style>
  <w:style w:type="paragraph" w:customStyle="1" w:styleId="EndNoteBibliography">
    <w:name w:val="EndNote Bibliography"/>
    <w:basedOn w:val="Normal"/>
    <w:link w:val="EndNoteBibliographyChar"/>
    <w:rsid w:val="00B4079E"/>
    <w:pPr>
      <w:widowControl/>
      <w:spacing w:before="120" w:after="0" w:line="240" w:lineRule="auto"/>
      <w:jc w:val="both"/>
    </w:pPr>
    <w:rPr>
      <w:rFonts w:ascii="Times New Roman" w:eastAsia="宋体" w:hAnsi="Times New Roman" w:cs="Times New Roman"/>
      <w:noProof/>
      <w:color w:val="000000" w:themeColor="text1"/>
      <w:w w:val="105"/>
      <w:kern w:val="24"/>
      <w:sz w:val="24"/>
      <w14:ligatures w14:val="none"/>
    </w:rPr>
  </w:style>
  <w:style w:type="character" w:customStyle="1" w:styleId="EndNoteBibliographyChar">
    <w:name w:val="EndNote Bibliography Char"/>
    <w:basedOn w:val="a0"/>
    <w:link w:val="EndNoteBibliography"/>
    <w:rsid w:val="00B4079E"/>
    <w:rPr>
      <w:rFonts w:ascii="Times New Roman" w:eastAsia="宋体" w:hAnsi="Times New Roman" w:cs="Times New Roman"/>
      <w:noProof/>
      <w:color w:val="000000" w:themeColor="text1"/>
      <w:w w:val="105"/>
      <w:kern w:val="24"/>
      <w:sz w:val="24"/>
      <w14:ligatures w14:val="none"/>
    </w:rPr>
  </w:style>
  <w:style w:type="paragraph" w:customStyle="1" w:styleId="a3">
    <w:name w:val="三级标题"/>
    <w:basedOn w:val="a"/>
    <w:link w:val="a4"/>
    <w:qFormat/>
    <w:rsid w:val="00B4079E"/>
    <w:pPr>
      <w:ind w:firstLineChars="0" w:firstLine="0"/>
      <w:outlineLvl w:val="2"/>
    </w:pPr>
    <w:rPr>
      <w:b/>
    </w:rPr>
  </w:style>
  <w:style w:type="character" w:customStyle="1" w:styleId="a4">
    <w:name w:val="三级标题 字符"/>
    <w:basedOn w:val="a0"/>
    <w:link w:val="a3"/>
    <w:rsid w:val="00B4079E"/>
    <w:rPr>
      <w:rFonts w:ascii="Times New Roman" w:eastAsia="宋体" w:hAnsi="Times New Roman" w:cs="Times New Roman"/>
      <w:b/>
      <w:color w:val="000000" w:themeColor="text1"/>
      <w:w w:val="105"/>
      <w:kern w:val="24"/>
      <w:sz w:val="24"/>
      <w14:ligatures w14:val="none"/>
    </w:rPr>
  </w:style>
  <w:style w:type="paragraph" w:styleId="Footer">
    <w:name w:val="footer"/>
    <w:basedOn w:val="Normal"/>
    <w:link w:val="FooterChar"/>
    <w:uiPriority w:val="99"/>
    <w:unhideWhenUsed/>
    <w:rsid w:val="00842435"/>
    <w:pPr>
      <w:widowControl/>
      <w:tabs>
        <w:tab w:val="center" w:pos="4153"/>
        <w:tab w:val="right" w:pos="8306"/>
      </w:tabs>
      <w:snapToGrid w:val="0"/>
      <w:spacing w:before="120" w:after="0" w:line="240" w:lineRule="auto"/>
    </w:pPr>
    <w:rPr>
      <w:rFonts w:ascii="Times New Roman" w:eastAsia="宋体" w:hAnsi="Times New Roman"/>
      <w:color w:val="000000" w:themeColor="text1"/>
      <w:w w:val="105"/>
      <w:kern w:val="24"/>
      <w:sz w:val="18"/>
      <w:szCs w:val="18"/>
      <w14:ligatures w14:val="none"/>
    </w:rPr>
  </w:style>
  <w:style w:type="character" w:customStyle="1" w:styleId="FooterChar">
    <w:name w:val="Footer Char"/>
    <w:basedOn w:val="DefaultParagraphFont"/>
    <w:link w:val="Footer"/>
    <w:uiPriority w:val="99"/>
    <w:qFormat/>
    <w:rsid w:val="00842435"/>
    <w:rPr>
      <w:rFonts w:ascii="Times New Roman" w:eastAsia="宋体" w:hAnsi="Times New Roman"/>
      <w:color w:val="000000" w:themeColor="text1"/>
      <w:w w:val="105"/>
      <w:kern w:val="24"/>
      <w:sz w:val="18"/>
      <w:szCs w:val="18"/>
      <w14:ligatures w14:val="none"/>
    </w:rPr>
  </w:style>
  <w:style w:type="table" w:styleId="TableGrid">
    <w:name w:val="Table Grid"/>
    <w:basedOn w:val="TableNormal"/>
    <w:uiPriority w:val="39"/>
    <w:qFormat/>
    <w:rsid w:val="00842435"/>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表内容"/>
    <w:basedOn w:val="Normal"/>
    <w:link w:val="a6"/>
    <w:qFormat/>
    <w:rsid w:val="00842435"/>
    <w:pPr>
      <w:widowControl/>
      <w:adjustRightInd w:val="0"/>
      <w:snapToGrid w:val="0"/>
      <w:spacing w:after="0" w:line="240" w:lineRule="auto"/>
    </w:pPr>
    <w:rPr>
      <w:rFonts w:ascii="Times New Roman" w:eastAsia="宋体" w:hAnsi="Times New Roman" w:cs="Times New Roman"/>
      <w:color w:val="000000" w:themeColor="text1"/>
      <w:w w:val="105"/>
      <w:kern w:val="0"/>
      <w:sz w:val="20"/>
      <w:szCs w:val="20"/>
      <w14:ligatures w14:val="none"/>
    </w:rPr>
  </w:style>
  <w:style w:type="character" w:customStyle="1" w:styleId="a6">
    <w:name w:val="表内容 字符"/>
    <w:basedOn w:val="DefaultParagraphFont"/>
    <w:link w:val="a5"/>
    <w:rsid w:val="00842435"/>
    <w:rPr>
      <w:rFonts w:ascii="Times New Roman" w:eastAsia="宋体" w:hAnsi="Times New Roman" w:cs="Times New Roman"/>
      <w:color w:val="000000" w:themeColor="text1"/>
      <w:w w:val="105"/>
      <w:kern w:val="0"/>
      <w:sz w:val="20"/>
      <w:szCs w:val="20"/>
      <w14:ligatures w14:val="none"/>
    </w:rPr>
  </w:style>
  <w:style w:type="paragraph" w:customStyle="1" w:styleId="a7">
    <w:name w:val="表标题"/>
    <w:basedOn w:val="a"/>
    <w:link w:val="a8"/>
    <w:qFormat/>
    <w:rsid w:val="00842435"/>
    <w:pPr>
      <w:ind w:firstLineChars="0" w:firstLine="0"/>
    </w:pPr>
    <w:rPr>
      <w:b/>
      <w:szCs w:val="21"/>
    </w:rPr>
  </w:style>
  <w:style w:type="character" w:customStyle="1" w:styleId="a8">
    <w:name w:val="表标题 字符"/>
    <w:basedOn w:val="a0"/>
    <w:link w:val="a7"/>
    <w:rsid w:val="00842435"/>
    <w:rPr>
      <w:rFonts w:ascii="Times New Roman" w:eastAsia="宋体" w:hAnsi="Times New Roman" w:cs="Times New Roman"/>
      <w:b/>
      <w:color w:val="000000" w:themeColor="text1"/>
      <w:w w:val="105"/>
      <w:kern w:val="24"/>
      <w:sz w:val="24"/>
      <w:szCs w:val="21"/>
      <w14:ligatures w14:val="none"/>
    </w:rPr>
  </w:style>
  <w:style w:type="paragraph" w:customStyle="1" w:styleId="a9">
    <w:name w:val="摘要图表目录标题"/>
    <w:basedOn w:val="Title"/>
    <w:link w:val="aa"/>
    <w:qFormat/>
    <w:rsid w:val="00842435"/>
    <w:pPr>
      <w:widowControl/>
      <w:adjustRightInd w:val="0"/>
      <w:snapToGrid w:val="0"/>
      <w:spacing w:after="240"/>
      <w:contextualSpacing w:val="0"/>
      <w:outlineLvl w:val="0"/>
    </w:pPr>
    <w:rPr>
      <w:rFonts w:ascii="Times New Roman" w:eastAsia="宋体" w:hAnsi="Times New Roman"/>
      <w:b/>
      <w:bCs/>
      <w:color w:val="000000" w:themeColor="text1"/>
      <w:spacing w:val="0"/>
      <w:w w:val="105"/>
      <w:kern w:val="24"/>
      <w:sz w:val="32"/>
      <w:szCs w:val="32"/>
      <w14:ligatures w14:val="none"/>
    </w:rPr>
  </w:style>
  <w:style w:type="character" w:customStyle="1" w:styleId="aa">
    <w:name w:val="摘要图表目录标题 字符"/>
    <w:basedOn w:val="DefaultParagraphFont"/>
    <w:link w:val="a9"/>
    <w:rsid w:val="00842435"/>
    <w:rPr>
      <w:rFonts w:ascii="Times New Roman" w:eastAsia="宋体" w:hAnsi="Times New Roman" w:cstheme="majorBidi"/>
      <w:b/>
      <w:bCs/>
      <w:color w:val="000000" w:themeColor="text1"/>
      <w:w w:val="105"/>
      <w:kern w:val="24"/>
      <w:sz w:val="32"/>
      <w:szCs w:val="32"/>
      <w14:ligatures w14:val="none"/>
    </w:rPr>
  </w:style>
  <w:style w:type="paragraph" w:customStyle="1" w:styleId="ab">
    <w:name w:val="图标题"/>
    <w:basedOn w:val="a"/>
    <w:link w:val="ac"/>
    <w:qFormat/>
    <w:rsid w:val="00842435"/>
    <w:pPr>
      <w:ind w:firstLineChars="0" w:firstLine="0"/>
      <w:jc w:val="center"/>
    </w:pPr>
    <w:rPr>
      <w:b/>
      <w:szCs w:val="21"/>
    </w:rPr>
  </w:style>
  <w:style w:type="character" w:customStyle="1" w:styleId="ac">
    <w:name w:val="图标题 字符"/>
    <w:basedOn w:val="a0"/>
    <w:link w:val="ab"/>
    <w:qFormat/>
    <w:rsid w:val="00842435"/>
    <w:rPr>
      <w:rFonts w:ascii="Times New Roman" w:eastAsia="宋体" w:hAnsi="Times New Roman" w:cs="Times New Roman"/>
      <w:b/>
      <w:color w:val="000000" w:themeColor="text1"/>
      <w:w w:val="105"/>
      <w:kern w:val="24"/>
      <w:sz w:val="24"/>
      <w:szCs w:val="21"/>
      <w14:ligatures w14:val="none"/>
    </w:rPr>
  </w:style>
  <w:style w:type="paragraph" w:customStyle="1" w:styleId="ad">
    <w:name w:val="图位置"/>
    <w:basedOn w:val="Normal"/>
    <w:link w:val="ae"/>
    <w:autoRedefine/>
    <w:qFormat/>
    <w:rsid w:val="00842435"/>
    <w:pPr>
      <w:widowControl/>
      <w:spacing w:before="120" w:after="0" w:line="240" w:lineRule="auto"/>
      <w:jc w:val="center"/>
    </w:pPr>
    <w:rPr>
      <w:rFonts w:ascii="Times New Roman" w:eastAsia="宋体" w:hAnsi="Times New Roman"/>
      <w:color w:val="000000" w:themeColor="text1"/>
      <w:w w:val="105"/>
      <w:kern w:val="24"/>
      <w:sz w:val="24"/>
      <w14:ligatures w14:val="none"/>
    </w:rPr>
  </w:style>
  <w:style w:type="character" w:customStyle="1" w:styleId="ae">
    <w:name w:val="图位置 字符"/>
    <w:basedOn w:val="DefaultParagraphFont"/>
    <w:link w:val="ad"/>
    <w:rsid w:val="00842435"/>
    <w:rPr>
      <w:rFonts w:ascii="Times New Roman" w:eastAsia="宋体" w:hAnsi="Times New Roman"/>
      <w:color w:val="000000" w:themeColor="text1"/>
      <w:w w:val="105"/>
      <w:kern w:val="24"/>
      <w:sz w:val="24"/>
      <w14:ligatures w14:val="none"/>
    </w:rPr>
  </w:style>
  <w:style w:type="paragraph" w:styleId="Header">
    <w:name w:val="header"/>
    <w:basedOn w:val="Normal"/>
    <w:link w:val="HeaderChar"/>
    <w:uiPriority w:val="99"/>
    <w:unhideWhenUsed/>
    <w:rsid w:val="003122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2A0"/>
  </w:style>
  <w:style w:type="paragraph" w:styleId="Revision">
    <w:name w:val="Revision"/>
    <w:hidden/>
    <w:uiPriority w:val="99"/>
    <w:semiHidden/>
    <w:rsid w:val="004D3A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tif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tif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073D0D27C44E8040AF4402ACB4375B9F" ma:contentTypeVersion="12" ma:contentTypeDescription="新建文档。" ma:contentTypeScope="" ma:versionID="606d3a12801e37311ea407c324965cbd">
  <xsd:schema xmlns:xsd="http://www.w3.org/2001/XMLSchema" xmlns:xs="http://www.w3.org/2001/XMLSchema" xmlns:p="http://schemas.microsoft.com/office/2006/metadata/properties" xmlns:ns2="a3741abc-82f3-4b8c-8c2d-50a7f688c626" xmlns:ns3="525a5d9e-ce1b-4d2b-8900-c2fbf8f7f2b7" targetNamespace="http://schemas.microsoft.com/office/2006/metadata/properties" ma:root="true" ma:fieldsID="590909df4bea2dd28f25e4928cb1a847" ns2:_="" ns3:_="">
    <xsd:import namespace="a3741abc-82f3-4b8c-8c2d-50a7f688c626"/>
    <xsd:import namespace="525a5d9e-ce1b-4d2b-8900-c2fbf8f7f2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41abc-82f3-4b8c-8c2d-50a7f688c626"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25a5d9e-ce1b-4d2b-8900-c2fbf8f7f2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F4EB3F-7323-479A-9EBE-CBA4DACE60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881F9F-5776-4CAD-B2BF-54EB48A579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41abc-82f3-4b8c-8c2d-50a7f688c626"/>
    <ds:schemaRef ds:uri="525a5d9e-ce1b-4d2b-8900-c2fbf8f7f2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F7DE4D-CC07-4A78-855A-822D04A080F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Wang</dc:creator>
  <cp:keywords/>
  <dc:description/>
  <cp:lastModifiedBy>Kun Wang</cp:lastModifiedBy>
  <cp:revision>4</cp:revision>
  <dcterms:created xsi:type="dcterms:W3CDTF">2026-01-05T12:27:00Z</dcterms:created>
  <dcterms:modified xsi:type="dcterms:W3CDTF">2026-01-23T08:11:00Z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89f1211a-8465-4093-921f-13a7f48ffca0</vt:lpwstr>
  </property>
  <property fmtid="{D5CDD505-2E9C-101B-9397-08002B2CF9AE}" pid="3" name="ContentTypeId">
    <vt:lpwstr>0x010100073D0D27C44E8040AF4402ACB4375B9F</vt:lpwstr>
  </property>
</Properties>
</file>