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CC" w:rsidRPr="002923CC" w:rsidRDefault="002923CC" w:rsidP="002923CC">
      <w:pPr>
        <w:shd w:val="clear" w:color="auto" w:fill="FFFFFF"/>
        <w:spacing w:after="0" w:line="334" w:lineRule="atLeast"/>
        <w:jc w:val="center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 xml:space="preserve">تدفق التكاليف في المنشأة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>الخدميه</w:t>
      </w:r>
      <w:proofErr w:type="spellEnd"/>
    </w:p>
    <w:p w:rsidR="002923CC" w:rsidRPr="006F171B" w:rsidRDefault="006F171B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</w:pPr>
      <w:bookmarkStart w:id="0" w:name="_GoBack"/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حيث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يتم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من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خلالها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جمع،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وتسجيل،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وتصنيف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البيانات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المتعلقة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بالتكلفة،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وذلك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بهدف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إمداد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الإدارة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بالمعلومات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الكافية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عن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التكاليف،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والتي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تستخدمها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للرقابة،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والتخطيط،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واتخاذ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القرار،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وإعداد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القوائم،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والكشوفات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المالية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للجهات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الخارجية،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وأول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من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عرفها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هم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الفراعنة،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إذ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كانوا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يستخدمون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إجراءات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وأنظمة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خاصة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للأنشطة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المعمارية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والزراعية،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ثمّ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استخدمها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الخليفة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عمر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الخطاب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في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ديوان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بيت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المال،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وقام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بفصل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الأصول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المتداولة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عن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الثابتة،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وفي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هذا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المقال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سنتحدث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عنها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بشكلٍ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 xml:space="preserve"> </w:t>
      </w:r>
      <w:r w:rsidRPr="006F171B">
        <w:rPr>
          <w:rFonts w:asciiTheme="majorBidi" w:eastAsia="Times New Roman" w:hAnsiTheme="majorBidi" w:cs="Times New Roman" w:hint="cs"/>
          <w:color w:val="333333"/>
          <w:sz w:val="28"/>
          <w:szCs w:val="28"/>
          <w:rtl/>
          <w:lang w:bidi="ar-EG"/>
        </w:rPr>
        <w:t>عام</w:t>
      </w:r>
      <w:r w:rsidRPr="006F171B">
        <w:rPr>
          <w:rFonts w:asciiTheme="majorBidi" w:eastAsia="Times New Roman" w:hAnsiTheme="majorBidi" w:cs="Times New Roman"/>
          <w:color w:val="333333"/>
          <w:sz w:val="28"/>
          <w:szCs w:val="28"/>
          <w:rtl/>
          <w:lang w:bidi="ar-EG"/>
        </w:rPr>
        <w:t>.</w:t>
      </w:r>
    </w:p>
    <w:bookmarkEnd w:id="0"/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 xml:space="preserve">ما هو نظام التكاليف الملائم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  <w:rtl/>
          <w:lang w:bidi="ar-EG"/>
        </w:rPr>
        <w:t xml:space="preserve"> الخدمات؟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تتعدد انظمه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المحاسبه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تبعا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لاسلوب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او طريقه تجميع التكاليف الى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</w:rPr>
        <w:t>1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-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16"/>
          <w:szCs w:val="16"/>
          <w:rtl/>
        </w:rPr>
        <w:t>  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  <w:lang w:bidi="ar-EG"/>
        </w:rPr>
        <w:t>نظام تكاليف الاوامر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Job Costing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ظل هذا النظام  يتم انتاج منتجات تبعا لمواصفات يحددها العميل ويكون الاوامر او الدفعات من المنتجات او الخدمات تمثل موضوعات القياس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التكاليفى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، وذلك يعنى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لاغراض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تحديد تكلفه المنتج او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الخدمه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يجب تحميل الامر او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الدفعه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بجميع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حدثت ويطبق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حالتين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720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  <w:lang w:bidi="ar-EG"/>
        </w:rPr>
        <w:t>   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rtl/>
        </w:rPr>
        <w:t>2-</w:t>
      </w:r>
      <w:proofErr w:type="gram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  <w:lang w:bidi="ar-EG"/>
        </w:rPr>
        <w:t>نظام</w:t>
      </w:r>
      <w:proofErr w:type="gram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  <w:lang w:bidi="ar-EG"/>
        </w:rPr>
        <w:t xml:space="preserve"> تكاليف المراحل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Process Costing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 يطبق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الوحدات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تنتج كميات كبيره من الوحدات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المتماثله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ومن خلال عمليات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مستمره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بمعنى يحتاج الى شروط منطقيه للموقف الذى يمكن ان يطبق فيه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1440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12"/>
          <w:szCs w:val="12"/>
          <w:rtl/>
          <w:lang w:bidi="ar-EG"/>
        </w:rPr>
        <w:t>                                  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rtl/>
        </w:rPr>
        <w:t>3-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  <w:rtl/>
        </w:rPr>
        <w:t>  </w:t>
      </w:r>
      <w:proofErr w:type="gramStart"/>
      <w:r w:rsidRPr="002923CC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rtl/>
          <w:lang w:bidi="ar-EG"/>
        </w:rPr>
        <w:t>نظام</w:t>
      </w:r>
      <w:proofErr w:type="gramEnd"/>
      <w:r w:rsidRPr="002923CC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rtl/>
          <w:lang w:bidi="ar-EG"/>
        </w:rPr>
        <w:t xml:space="preserve"> تكاليف العمليات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Operating cost</w:t>
      </w:r>
    </w:p>
    <w:p w:rsidR="002923CC" w:rsidRPr="003A7333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0"/>
          <w:szCs w:val="20"/>
          <w:rtl/>
        </w:rPr>
      </w:pP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بعض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لمنشات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تتوافر على انتاج دفعات او موديلات من منتج معين تتضمن وحدات متماثله ولكن هناك اختلاف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المواصفات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الفنيه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بين الموديلات او دفعات الانتاج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المختلفه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rtl/>
          <w:lang w:bidi="ar-EG"/>
        </w:rPr>
      </w:pPr>
    </w:p>
    <w:p w:rsidR="002923CC" w:rsidRPr="002923CC" w:rsidRDefault="002923CC" w:rsidP="006F171B">
      <w:pPr>
        <w:shd w:val="clear" w:color="auto" w:fill="FFFFFF"/>
        <w:bidi w:val="0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lang w:bidi="ar-EG"/>
        </w:rPr>
      </w:pPr>
    </w:p>
    <w:p w:rsidR="002923CC" w:rsidRPr="002923CC" w:rsidRDefault="002923CC" w:rsidP="002120D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333333"/>
          <w:rtl/>
          <w:lang w:bidi="ar-EG"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نظام تجميع التكلفة الملائم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 الخدمات</w:t>
      </w:r>
    </w:p>
    <w:p w:rsidR="002923CC" w:rsidRPr="002923CC" w:rsidRDefault="002923CC" w:rsidP="002923CC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ويستخدم نظام تكاليف الاوامر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الانتاجيه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بشكل كثيف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صناعه الخدمات مثل وكالات الاعلان، المستشفيات وشركات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الصيانه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والاصلاح و اعمال الاستشارات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الهندسيه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والقانونيه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والمحاسبية...الخ</w:t>
      </w:r>
    </w:p>
    <w:p w:rsidR="003A7333" w:rsidRDefault="002923CC" w:rsidP="003A7333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b/>
          <w:bCs/>
          <w:color w:val="333333"/>
          <w:sz w:val="30"/>
          <w:szCs w:val="3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 اما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بالنسبه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لنظام المراحل  من الممكن تطبيقه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الخدمات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تقدم خدمات   تحتوى على قدر من التنميط  مثل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التعليم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العالى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  فاذا قمنا بفحص طبيعة بعض البرامج التعليمية نجدها تتضمن مراحل زمنية كل منها يحتوى على تشغيل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Processing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 لفرقة تعليمية معينة فمثلاً البرنامج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التعليمى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لمنح درجة البكالوريوس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المحاسبة ( أو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أى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تخصص) يتضمن عدد من السنوات أو الفصول الدراسية وهى عبارة عن مراحل النشاط وكل مرحلة منها تتسبب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مصروفات وتكاليف. وعليه فإن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التوازى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بين حسابات المراحل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التكاليف وبين النشاط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التعليمى</w:t>
      </w:r>
      <w:proofErr w:type="spellEnd"/>
      <w:r w:rsidR="003A7333">
        <w:rPr>
          <w:rFonts w:asciiTheme="majorBidi" w:eastAsia="Times New Roman" w:hAnsiTheme="majorBidi" w:cstheme="majorBidi" w:hint="cs"/>
          <w:color w:val="333333"/>
          <w:sz w:val="28"/>
          <w:szCs w:val="28"/>
          <w:rtl/>
          <w:lang w:bidi="ar-EG"/>
        </w:rPr>
        <w:t>.</w:t>
      </w:r>
    </w:p>
    <w:p w:rsidR="003A7333" w:rsidRDefault="003A7333" w:rsidP="003A7333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b/>
          <w:bCs/>
          <w:color w:val="333333"/>
          <w:sz w:val="30"/>
          <w:szCs w:val="30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مما سبق يتضح أنه يمكن النظر إلى نظام التعليم على أنه مراحل خدمات، بدلاً من مراحل انتاج وفى هذا المفهوم يكون البرنامج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التعليمى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هو محور النشاط وهو المسبب للتكلفة وبذلك يؤخذ كمركز تتراكم عليه عناصر التكاليف ويستخدم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تحميل هذه العناصر على مخرجات البرنامج 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lastRenderedPageBreak/>
        <w:t xml:space="preserve">وهم الطلاب المشاركون فيه وذلك باستخدام نظام التكلفة على أساس النشاط أو نظام التكاليف على أساس العمليات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تخصيص والصاق تكلفة البرامج التعليمية المتعددة.</w:t>
      </w:r>
    </w:p>
    <w:p w:rsidR="006F171B" w:rsidRDefault="006F171B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  <w:lang w:bidi="ar-EG"/>
        </w:rPr>
      </w:pPr>
    </w:p>
    <w:p w:rsidR="006F171B" w:rsidRDefault="006F171B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  <w:lang w:bidi="ar-EG"/>
        </w:rPr>
      </w:pPr>
    </w:p>
    <w:p w:rsidR="006F171B" w:rsidRDefault="006F171B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  <w:lang w:bidi="ar-EG"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10"/>
          <w:szCs w:val="10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 * نظام تخصيص التكلفة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 الخدمات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 يتضمن الفكر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المحاسبى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مجال تخصيص التكاليف  النظام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التقليدى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و نظام المحاسبة على أساس الأنشطة ونظام تكاليف محاسبه استهلاك الموارد ونظام التكاليف على اساس النشاط الموجه بالوقت  ونعرض فيما يلى مفهوم كل نظام 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اولا:النظام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التقليدى</w:t>
      </w:r>
      <w:proofErr w:type="spellEnd"/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>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يتوافر النظام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المحاسبى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على تتبع تدفق عناصر التكاليف وتحليلها من زاويا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متعدده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باستخدام اسس تبويب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مختلفه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 وفى ظل هذا النظام كان يتم التتبع المباشر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للتكايف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على موضوعات القياس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اما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بالنسبه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للتكاليف غير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المباشره</w:t>
      </w:r>
      <w:proofErr w:type="spellEnd"/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sz w:val="28"/>
          <w:szCs w:val="2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وبالنسبه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لعمليه تخصيص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الاضافيه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فقد حدث بها تطورات كبيره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عمليه تخصيصها ف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البدايه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كان يتم تخصيص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الاضافيه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باستخدام معدل تحميل واحد على مستوى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ككل , ثم</w:t>
      </w:r>
      <w:r w:rsidR="002120D3">
        <w:rPr>
          <w:rFonts w:asciiTheme="majorBidi" w:eastAsia="Times New Roman" w:hAnsiTheme="majorBidi" w:cstheme="majorBidi" w:hint="cs"/>
          <w:color w:val="333333"/>
          <w:sz w:val="28"/>
          <w:szCs w:val="28"/>
          <w:rtl/>
          <w:lang w:bidi="ar-AE"/>
        </w:rPr>
        <w:t xml:space="preserve"> 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استخدام اكثر من معدل تحميل 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اننا سوف نقوم بتقسيم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الى اقسام , لكن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هذه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المرحله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كان يتم تقسيم المستشفى الى اقسام انتاجيه فقط. ولحساب معدل التحميل يتم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البدايه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تحديد مستوى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على مستوى كل قسم من الاقسام ويتم تجميع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الاضافيه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لكل قسم من الاقسام بكل من الالصاق المباشر واعاده التخصيص على الاقسام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الانتاجيه.ثم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  تقسيم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الى اقسام انتاجيه واقسام للخدمات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وتقوم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أنظمة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محاسبة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التقليدية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فرض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مؤداه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كل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عناصر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غير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المباشرة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ترتبط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بأسس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تعتمد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الحجم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عند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إجراء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عملية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التخصيص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خلال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تجميع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تكلفة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أقسام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المراكز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الخدمية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ثم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توزيعها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الأقسام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الإنتاجية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باستخدام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مقاييس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استخدام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الخدمة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ثم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تخصيص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المتعلقة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بخطوط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الإنتاج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باستخدام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مقاييس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حجم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الإنتاج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sz w:val="14"/>
          <w:szCs w:val="14"/>
          <w:rtl/>
        </w:rPr>
      </w:pP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  <w:rtl/>
          <w:lang w:bidi="ar-AE"/>
        </w:rPr>
        <w:t>ثانيا:نظام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  <w:rtl/>
          <w:lang w:bidi="ar-AE"/>
        </w:rPr>
        <w:t xml:space="preserve"> التكاليف على اساس النشاط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32"/>
          <w:szCs w:val="32"/>
          <w:rtl/>
          <w:lang w:bidi="ar-AE"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ان استخدام مدخل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الانشطه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يقدم لنا منهج جديد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تخصيص التكاليف سوف يترب عليه تعدد معدلات التحميل حتى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بالنسبه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للقسم الواحد. وهذا يمثل اقتراب اكثر من الواقع ومراعاه لعلاقه السبب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بالنتيجه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.</w:t>
      </w: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, فقد نجد ان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الاضافيه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قسم معين تنتمى الى مسببات 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مختلفه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 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والانشطه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هذا النظام تتبع خاصيه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الدرجيه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حيث تقسم انشطه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الى اربعه مجموعات رئيسيه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1-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انشطه على مستوى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الوحده</w:t>
      </w:r>
      <w:proofErr w:type="spellEnd"/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2-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تكاليف مستوى الدفعات</w:t>
      </w:r>
    </w:p>
    <w:p w:rsidR="002120D3" w:rsidRDefault="002923CC" w:rsidP="002120D3">
      <w:pPr>
        <w:shd w:val="clear" w:color="auto" w:fill="FFFFFF"/>
        <w:spacing w:after="0" w:line="334" w:lineRule="atLeast"/>
        <w:ind w:hanging="360"/>
        <w:rPr>
          <w:rFonts w:asciiTheme="majorBidi" w:eastAsia="Times New Roman" w:hAnsiTheme="majorBidi" w:cstheme="majorBidi" w:hint="cs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3-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تكاليف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مستوى دعم المنتج</w:t>
      </w:r>
    </w:p>
    <w:p w:rsidR="002923CC" w:rsidRPr="002120D3" w:rsidRDefault="002120D3" w:rsidP="002120D3">
      <w:pPr>
        <w:shd w:val="clear" w:color="auto" w:fill="FFFFFF"/>
        <w:spacing w:after="0" w:line="334" w:lineRule="atLeast"/>
        <w:ind w:hanging="360"/>
        <w:rPr>
          <w:rFonts w:asciiTheme="majorBidi" w:eastAsia="Times New Roman" w:hAnsiTheme="majorBidi" w:cstheme="majorBidi"/>
          <w:color w:val="333333"/>
          <w:rtl/>
        </w:rPr>
      </w:pPr>
      <w:r>
        <w:rPr>
          <w:rFonts w:asciiTheme="majorBidi" w:eastAsia="Times New Roman" w:hAnsiTheme="majorBidi" w:cstheme="majorBidi" w:hint="cs"/>
          <w:color w:val="333333"/>
          <w:sz w:val="28"/>
          <w:szCs w:val="28"/>
          <w:rtl/>
          <w:lang w:bidi="ar-AE"/>
        </w:rPr>
        <w:t xml:space="preserve">4- </w:t>
      </w:r>
      <w:proofErr w:type="gramStart"/>
      <w:r w:rsidR="002923CC" w:rsidRPr="002120D3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تكاليف</w:t>
      </w:r>
      <w:proofErr w:type="gramEnd"/>
      <w:r w:rsidR="002923CC" w:rsidRPr="002120D3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على مستوى المصنع ككل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sz w:val="10"/>
          <w:szCs w:val="10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  <w:lang w:bidi="ar-AE"/>
        </w:rPr>
        <w:lastRenderedPageBreak/>
        <w:t>ثالثا: التكاليف على اساس النشاط الموجه بالوقت</w:t>
      </w:r>
    </w:p>
    <w:p w:rsidR="002923CC" w:rsidRPr="002923CC" w:rsidRDefault="002923CC" w:rsidP="002120D3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rtl/>
          <w:lang w:bidi="ar-EG"/>
        </w:rPr>
      </w:pP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نتيجه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4"/>
          <w:szCs w:val="24"/>
          <w:rtl/>
          <w:lang w:bidi="ar-AE"/>
        </w:rPr>
        <w:t xml:space="preserve"> 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المشاكل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التى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واجهت تطبيق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ABC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 ادى ذلك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الى تجنب او استبعاد تطبيق هذا النظام ومن ثم كان لابد من منهج بديل اسهل واقل تكلفه مع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التضحيه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قليلا نسبيا بدقه قياس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التكلفه.وهناك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سؤالين يجب على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اخذهما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الاعتبار قبل تطبيق نموذج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التكلفه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على اساس النشاط الموجه بالوقت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1-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ما هو مقدار تكلفه توفير طاقه الموارد لكل عمليه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المنشاه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؟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ind w:hanging="360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2-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AE"/>
        </w:rPr>
        <w:t>ما هو مقدار الوقت المطلوب لتنفيذ صفقه او معامله او نشاط؟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18"/>
          <w:szCs w:val="18"/>
          <w:rtl/>
          <w:lang w:bidi="ar-EG"/>
        </w:rPr>
      </w:pPr>
      <w:r w:rsidRPr="002923CC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>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ويبدا نظام التكاليف على اساس النشاط الموجه بالوقت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TDABC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 بتحديد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العمليه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Practical capacity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 لكل مورد من الموارد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المتوافره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(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المبانى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’ المعدات’ الافراد...)  ومن ثم يتم قسمه تكاليف كل مورد على طاقته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العمليه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وذلك لحساب تكلفه كل وحده من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Capacity cost rate=cost of capacity supplied/practical capacity of resources supplied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  وفى ظل هذا النظام يتم تخصيص تكاليف الموارد مباشره على موضوعات القياس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من خلال اطار يتطلب مجموعتان من التقديرات هما</w:t>
      </w:r>
    </w:p>
    <w:p w:rsidR="002120D3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اولا:</w:t>
      </w:r>
      <w:r w:rsidRPr="002923CC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 xml:space="preserve"> 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تحسب تكلفه توفير طاقه المورد وعلى سبيل المثال قسم او عمليه معالجه اوامر العملاء ’يحسب نموذج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TDABC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 تكلفه كل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المواردلهذا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القسم او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العمليه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ويتم قسمه هذه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الكليه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على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العمليه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للقسم او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العمليه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للحصول على معدل تكلفه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.</w:t>
      </w:r>
    </w:p>
    <w:p w:rsidR="000B2CC9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ثانيا:</w:t>
      </w:r>
      <w:r w:rsidRPr="002923CC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 xml:space="preserve"> 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18"/>
          <w:szCs w:val="1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استخدام معدل تكلفه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توجيه او تحميل تكاليف القسم او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العمليه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على موضوعات القياس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عن طريق تقدير الطلب على طاقه المورد(الوقت نموذجيا).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rtl/>
        </w:rPr>
      </w:pP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6"/>
          <w:szCs w:val="6"/>
          <w:rtl/>
          <w:lang w:bidi="ar-EG"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رابعا: محاسبه استهلاك الموارد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RCA</w:t>
      </w:r>
    </w:p>
    <w:p w:rsidR="000B2CC9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بجمع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المعلومات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المستمدة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نظام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 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أساس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النشاط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مع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المعلومات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المستمدة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من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</w:p>
    <w:p w:rsidR="000B2CC9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</w:pP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نظام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محاسبة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المستندة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الفكر الألماني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والذي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نتج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الدمج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بينهما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مدخل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محاسبة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</w:p>
    <w:p w:rsidR="000B2CC9" w:rsidRDefault="002923CC" w:rsidP="000B2CC9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استهلاك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الذي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يعتبر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تطوير لأنظمة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محاسبة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="000B2CC9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="000B2CC9"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  <w:t>.</w:t>
      </w:r>
    </w:p>
    <w:p w:rsidR="002923CC" w:rsidRPr="002923CC" w:rsidRDefault="002923CC" w:rsidP="000B2CC9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0"/>
          <w:szCs w:val="20"/>
          <w:rtl/>
          <w:lang w:bidi="ar-EG"/>
        </w:rPr>
      </w:pP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ويعتبر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المداخل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تعتمد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كميات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تخصيص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وتوزيع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اعتمادا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تجانس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داخل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مجمعات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Quantity Based Approach</w:t>
      </w:r>
    </w:p>
    <w:p w:rsidR="002923CC" w:rsidRPr="002923CC" w:rsidRDefault="002923CC" w:rsidP="000B2CC9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ويعتبر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مدخل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محاسبة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استهلاك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بمثابة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الجيل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القادم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لأنظم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إدارة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التكلفة</w:t>
      </w:r>
      <w:r w:rsidR="000B2CC9"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  <w:t xml:space="preserve"> 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وذلك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بهدف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توفير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معلومات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مالية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وتشغيلية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أكثر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دقة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 مستوى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والتي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يحتاجها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متخذو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القرارات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تحديد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الإستراتيجيات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الملائمة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للمنشأة، ويعتمد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بصورة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أساسية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="000B2CC9"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  <w:t xml:space="preserve">    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تخصيص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موضوعات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القياس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التكاليفي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وفقاً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لعلاقة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السبب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والنتيجة</w:t>
      </w:r>
    </w:p>
    <w:p w:rsidR="002923CC" w:rsidRPr="002923CC" w:rsidRDefault="002923CC" w:rsidP="000B2CC9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rtl/>
          <w:lang w:bidi="ar-EG"/>
        </w:rPr>
      </w:pPr>
      <w:proofErr w:type="gramStart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ويتسم</w:t>
      </w:r>
      <w:proofErr w:type="gramEnd"/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مدخل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محاسبة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استهلاك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الموارد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بمجموعة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من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السمات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rtl/>
        </w:rPr>
        <w:t>والخصائص</w:t>
      </w:r>
      <w:r w:rsidR="000B2CC9" w:rsidRPr="000B2CC9">
        <w:rPr>
          <w:rFonts w:asciiTheme="majorBidi" w:eastAsia="Times New Roman" w:hAnsiTheme="majorBidi" w:cstheme="majorBidi" w:hint="cs"/>
          <w:b/>
          <w:bCs/>
          <w:color w:val="333333"/>
          <w:sz w:val="32"/>
          <w:szCs w:val="32"/>
          <w:rtl/>
        </w:rPr>
        <w:t xml:space="preserve"> التالية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: </w:t>
      </w:r>
      <w:r w:rsidRPr="002923CC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١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-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يعكس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الطبيعة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الأولية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للتكلفة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معدلات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التحميل،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وذلك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باستخدام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كميات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بهدف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التعبير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كافة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العلاقات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المتداخلة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٢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-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يعكس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بدقة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طبيعة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التغير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التكلفة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عند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وقت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الاستهلاك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٣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-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ضرورة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وجود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مجمعات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والتى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تأخذ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الاعتبار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الارتباط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المباشر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بين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حدوث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والموارد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lastRenderedPageBreak/>
        <w:t>٤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-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أن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هناك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بعض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تتواجد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لخدمة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موارد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أخرى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:rsidR="002923CC" w:rsidRPr="002923CC" w:rsidRDefault="002923CC" w:rsidP="002923CC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٥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-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يوفر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معلومات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تفصيلية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كافة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العلاقات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التبادلية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والمتداخلة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بين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الموارد</w:t>
      </w:r>
    </w:p>
    <w:p w:rsidR="002923CC" w:rsidRPr="002923CC" w:rsidRDefault="002923CC" w:rsidP="002120D3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 w:hint="cs"/>
          <w:color w:val="333333"/>
          <w:sz w:val="20"/>
          <w:szCs w:val="20"/>
          <w:rtl/>
          <w:lang w:bidi="ar-EG"/>
        </w:rPr>
      </w:pP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وبعضها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البعض</w:t>
      </w:r>
      <w:r w:rsidR="002120D3" w:rsidRPr="000B2CC9">
        <w:rPr>
          <w:rFonts w:asciiTheme="majorBidi" w:eastAsia="Times New Roman" w:hAnsiTheme="majorBidi" w:cstheme="majorBidi" w:hint="cs"/>
          <w:color w:val="333333"/>
          <w:sz w:val="28"/>
          <w:szCs w:val="28"/>
          <w:rtl/>
        </w:rPr>
        <w:t>.</w:t>
      </w:r>
    </w:p>
    <w:p w:rsidR="002923CC" w:rsidRPr="002923CC" w:rsidRDefault="002923CC" w:rsidP="002923CC">
      <w:pPr>
        <w:shd w:val="clear" w:color="auto" w:fill="FFFFFF"/>
        <w:spacing w:after="120" w:line="334" w:lineRule="atLeast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2923CC" w:rsidRPr="002923CC" w:rsidRDefault="002923CC" w:rsidP="002923CC">
      <w:pPr>
        <w:shd w:val="clear" w:color="auto" w:fill="FFFFFF"/>
        <w:spacing w:after="120" w:line="334" w:lineRule="atLeast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2923CC" w:rsidRPr="002923CC" w:rsidRDefault="002923CC" w:rsidP="002923CC">
      <w:pPr>
        <w:shd w:val="clear" w:color="auto" w:fill="FFFFFF"/>
        <w:spacing w:after="120" w:line="334" w:lineRule="atLeast"/>
        <w:jc w:val="center"/>
        <w:rPr>
          <w:rFonts w:asciiTheme="majorBidi" w:eastAsia="Times New Roman" w:hAnsiTheme="majorBidi" w:cstheme="majorBidi"/>
          <w:color w:val="333333"/>
        </w:rPr>
      </w:pPr>
      <w:proofErr w:type="gramStart"/>
      <w:r w:rsidRPr="002923CC">
        <w:rPr>
          <w:rFonts w:asciiTheme="majorBidi" w:eastAsia="Times New Roman" w:hAnsiTheme="majorBidi" w:cstheme="majorBidi"/>
          <w:b/>
          <w:bCs/>
          <w:color w:val="333333"/>
          <w:sz w:val="30"/>
          <w:szCs w:val="30"/>
          <w:rtl/>
          <w:lang w:bidi="ar-EG"/>
        </w:rPr>
        <w:t>قائمه</w:t>
      </w:r>
      <w:proofErr w:type="gramEnd"/>
      <w:r w:rsidRPr="002923CC">
        <w:rPr>
          <w:rFonts w:asciiTheme="majorBidi" w:eastAsia="Times New Roman" w:hAnsiTheme="majorBidi" w:cstheme="majorBidi"/>
          <w:b/>
          <w:bCs/>
          <w:color w:val="333333"/>
          <w:sz w:val="30"/>
          <w:szCs w:val="30"/>
          <w:rtl/>
          <w:lang w:bidi="ar-EG"/>
        </w:rPr>
        <w:t xml:space="preserve"> المراجع: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أولا: </w:t>
      </w:r>
      <w:proofErr w:type="gram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المراجع</w:t>
      </w:r>
      <w:proofErr w:type="gram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العربية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*سعيد محمود الهلباوى،1992"تطوير تحليل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العلاقه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بين التكاليف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والخحجم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والارباح:نموذج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مقترح"المجله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العلميه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والتمويل، كليه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جامعه طنطا، الملحق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الثانى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للعدد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الثانى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*سعيد محمود الهلباوى،2005" دراسات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محاسبة التكاليف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الفعليه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مدخل معاصر" كليه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bidi="ar-EG"/>
        </w:rPr>
        <w:t xml:space="preserve"> جامعه طنطا غير منشور.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*تهاني محمود النشار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vertAlign w:val="subscript"/>
        </w:rPr>
        <w:t>A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(1996)، "استخدام نظام محاسبه التكاليف على أساس النشاط في البنوك التجارية في مصر: منهج إجرائي مقترح"، المجلة المصرية للدراسات التجارية، كليه التجارة، جامعه المنصورة، العدد الثاني، ص105-131.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*تهاني محمود النشار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vertAlign w:val="subscript"/>
        </w:rPr>
        <w:t>B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(1996), "قياس ورقابة أداء المنشآت غير الهادفة للربح: إطار محاسبي مقترح", مجلة كلية التجارة للبحوث العلمية, المجلة العلمية للتجارة والتمويل، كلية التجارة، جامعة طنطا، العدد الأول، ص1-44.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*تهاني محمود النشار (2000), " استخدام نظام إدارة التكلفة لقياس ورقابة    تكاليف الجودة في منشآت الخدمات: نموذج محاسبي مقترح"، المجلة العلمية للتجارة والتمويل، كلية التجارة، جامعة طنطا، العدد الثاني، ص1-44.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*تهاني محمود النشار(2004), "العلاقة بين هيكل التكاليف الإضافية ومؤشرات عدم ملاءمة نظام التكاليف: إطار مقترح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, دراسة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تطبيقية", مجلة كلية التجارة للبحوث العلمية, كلية التجارة – جامعة الإسكندرية, العدد الأول – المجلد الحادي والأربعين, مارس, ص283-335.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سعيد محمود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الهلباوي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, تهاني محمود النشار (2014), "دراسات في محاسبة التكاليف الفعلية: مدخل معاصر", كليه التجارة، جامعه طنطا، بدون ناشر.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*سعيد محمود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الهلباوي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, تهاني محمود النشار(2013), "المحاسبة الإدارية المتقدمة: مدخل إدارة التكلفة ", كليه التجارة، جامعه طنطا، بدون ناشر.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* محمد سالم الباز،2012،" زياده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فعاليه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نظام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المحاسبه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الاداريه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من خلال التكامل بين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الاداره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الاستراتيجيه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للتكلفه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ونظام الانتاج المرن" رساله ماجستير غير منشوره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جامعه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القاهره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* ولاء عادل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ممحمد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طه،2010،"المحددات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الشرطيه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لتطبيق اساليب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المحاسبه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الاداريه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وعلاقتها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بالاداء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المالى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بالتطبيق على القطاع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الصناعى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المصرى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" رساله ماجستير غير منشوره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جامعه الزقازيق.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* محمد شحاته خطاب،2007" مدخل نظريه القيود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لاعاده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هيكله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الانتاجيه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واثر ذلك على القرارات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الاداريه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اطار مقترح" رساله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دكتواره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غير منشوره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جامعه طنطا.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lastRenderedPageBreak/>
        <w:t xml:space="preserve">*على السعيد سنون&amp; نصر محمد جعيصة،2004"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المحاسبه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الحكوميه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والقوميه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النظريه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والتطبيق"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جمعه طنطا غير منشور.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*هبه السيد ابراهيم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طنطاوى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،،2008" تطوير انظمه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الخدميه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باستخدام مدخل اداره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الانشطه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دراسه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تطبيقيه على المؤسسات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العلاجيه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" رساله ماجستير غير منشوره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جامعه طنطا.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*احمد عبدالكريم عبدالحمن،2000"</w:t>
      </w:r>
      <w:r w:rsidRPr="002923CC">
        <w:rPr>
          <w:rFonts w:asciiTheme="majorBidi" w:eastAsia="Times New Roman" w:hAnsiTheme="majorBidi" w:cstheme="majorBidi"/>
          <w:b/>
          <w:bCs/>
          <w:color w:val="313131"/>
          <w:sz w:val="28"/>
          <w:szCs w:val="28"/>
          <w:rtl/>
        </w:rPr>
        <w:t> قياس جودة الخدمة في المنظمات الحكومية بالتطبيق</w:t>
      </w:r>
      <w:r w:rsidRPr="002923CC">
        <w:rPr>
          <w:rFonts w:asciiTheme="majorBidi" w:eastAsia="Times New Roman" w:hAnsiTheme="majorBidi" w:cstheme="majorBidi"/>
          <w:b/>
          <w:bCs/>
          <w:color w:val="313131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13131"/>
          <w:sz w:val="28"/>
          <w:szCs w:val="28"/>
          <w:rtl/>
        </w:rPr>
        <w:t>على الخدمات الصحية بالمستشفيات الجامعية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" العدد 14 المجلد الاول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*محمد عمر محمد الدنف،2013" تطوير انظمه التكاليف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الخدمات باستخدام محاسبه استهلاك الموارد بهدف ترشيد اداره الموارد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دراسه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تطبيقيه" رساله ماجستير غير منشوره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جامعه طنطا.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*سمير رياض هلال،2006"المحاسبه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الاداريه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مدخل معاصر" كليه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التجاره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جامعه طنطا غير منشور.</w:t>
      </w:r>
    </w:p>
    <w:p w:rsidR="002923CC" w:rsidRPr="002923CC" w:rsidRDefault="002923CC" w:rsidP="002923CC">
      <w:pPr>
        <w:shd w:val="clear" w:color="auto" w:fill="FFFFFF"/>
        <w:spacing w:after="12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*سمير رياض هلال ،2012"دراسات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المحاسبه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الاداريه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المتقدمه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"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المكتبه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الاكاديميه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،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القاهره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،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الطبعه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الاولى.</w:t>
      </w: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*سمير رياض هلال،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 محمد حسن عبد المجيد ،صلاح  عبد الحفيظ  ،محمد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يس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، محمد عبد المنعم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سراج،محمد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سرور،سمر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مجدىالصياد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، أسماء عبد المنعم سراج  ،2008"  تكلفه التعليم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الجامعى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مصر:  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دراسه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ميدانيه على الجامعات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الحكوميه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"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أعدت هذه الدراسة بناء على تكليف من الأستاذ الدكتور وزير التعليم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العالى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الذى وفر لها دعما ماليا من خلال برنامج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OUDA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،  غير منشوره  </w:t>
      </w: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*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داؤد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سالم الدباغ 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٢٠٠٣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"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متطلبات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إدارة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الجودة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وأثرها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إبعاد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ومستوى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إستراتيجية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الإنتاج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والعمليات"،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رسالة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ماجستير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المحاسبة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كلية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الإدارة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والاقتصاد، جامعة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الموصل</w:t>
      </w: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*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تهاني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محمودالنشار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 xml:space="preserve"> 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٢٠٠٥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"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استخدام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أسلوب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دورة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حياة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المنتج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تحسين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 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-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اطار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مقترح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"-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مجلة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كلية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التجارة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للبحوث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</w:rPr>
        <w:t>العلمية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المجلد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٤٢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العدد</w:t>
      </w:r>
    </w:p>
    <w:p w:rsidR="002923CC" w:rsidRPr="002923CC" w:rsidRDefault="002923CC" w:rsidP="002923C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*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نشوان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طلال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 سعد الله 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٢٠٠٦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"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الدور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المحاسبي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بيان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تأثير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القيود،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دراسة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 لإمكانية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تطبيق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نظرية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القيود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في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معمل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الغزل</w:t>
      </w:r>
    </w:p>
    <w:p w:rsidR="00276D0E" w:rsidRPr="002923CC" w:rsidRDefault="00276D0E">
      <w:pPr>
        <w:rPr>
          <w:rFonts w:asciiTheme="majorBidi" w:hAnsiTheme="majorBidi" w:cstheme="majorBidi"/>
        </w:rPr>
      </w:pPr>
    </w:p>
    <w:sectPr w:rsidR="00276D0E" w:rsidRPr="002923CC" w:rsidSect="00AF0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0CF" w:rsidRDefault="00E210CF" w:rsidP="003A7333">
      <w:pPr>
        <w:spacing w:after="0" w:line="240" w:lineRule="auto"/>
      </w:pPr>
      <w:r>
        <w:separator/>
      </w:r>
    </w:p>
  </w:endnote>
  <w:endnote w:type="continuationSeparator" w:id="0">
    <w:p w:rsidR="00E210CF" w:rsidRDefault="00E210CF" w:rsidP="003A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0CF" w:rsidRDefault="00E210CF" w:rsidP="003A7333">
      <w:pPr>
        <w:spacing w:after="0" w:line="240" w:lineRule="auto"/>
      </w:pPr>
      <w:r>
        <w:separator/>
      </w:r>
    </w:p>
  </w:footnote>
  <w:footnote w:type="continuationSeparator" w:id="0">
    <w:p w:rsidR="00E210CF" w:rsidRDefault="00E210CF" w:rsidP="003A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0246"/>
    <w:multiLevelType w:val="hybridMultilevel"/>
    <w:tmpl w:val="EEDE7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59"/>
    <w:rsid w:val="000B2CC9"/>
    <w:rsid w:val="002120D3"/>
    <w:rsid w:val="002434DB"/>
    <w:rsid w:val="00276D0E"/>
    <w:rsid w:val="002923CC"/>
    <w:rsid w:val="003A7333"/>
    <w:rsid w:val="00534759"/>
    <w:rsid w:val="006F171B"/>
    <w:rsid w:val="00AC44C4"/>
    <w:rsid w:val="00AF0A19"/>
    <w:rsid w:val="00E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7333"/>
  </w:style>
  <w:style w:type="paragraph" w:styleId="a4">
    <w:name w:val="footer"/>
    <w:basedOn w:val="a"/>
    <w:link w:val="Char0"/>
    <w:uiPriority w:val="99"/>
    <w:unhideWhenUsed/>
    <w:rsid w:val="003A7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7333"/>
  </w:style>
  <w:style w:type="paragraph" w:styleId="a5">
    <w:name w:val="List Paragraph"/>
    <w:basedOn w:val="a"/>
    <w:uiPriority w:val="34"/>
    <w:qFormat/>
    <w:rsid w:val="00212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7333"/>
  </w:style>
  <w:style w:type="paragraph" w:styleId="a4">
    <w:name w:val="footer"/>
    <w:basedOn w:val="a"/>
    <w:link w:val="Char0"/>
    <w:uiPriority w:val="99"/>
    <w:unhideWhenUsed/>
    <w:rsid w:val="003A7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7333"/>
  </w:style>
  <w:style w:type="paragraph" w:styleId="a5">
    <w:name w:val="List Paragraph"/>
    <w:basedOn w:val="a"/>
    <w:uiPriority w:val="34"/>
    <w:qFormat/>
    <w:rsid w:val="0021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91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60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33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28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4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0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10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31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67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230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0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3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51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720">
          <w:marLeft w:val="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3852">
          <w:marLeft w:val="72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123">
          <w:marLeft w:val="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821">
          <w:marLeft w:val="72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752">
          <w:marLeft w:val="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467">
          <w:marLeft w:val="72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043">
          <w:marLeft w:val="0"/>
          <w:marRight w:val="5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30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66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8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5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98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5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2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22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945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8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33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580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294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298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7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2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3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5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1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697">
          <w:marLeft w:val="0"/>
          <w:marRight w:val="3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30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mahmod</dc:creator>
  <cp:keywords/>
  <dc:description/>
  <cp:lastModifiedBy>mahmod</cp:lastModifiedBy>
  <cp:revision>2</cp:revision>
  <dcterms:created xsi:type="dcterms:W3CDTF">2020-06-11T01:58:00Z</dcterms:created>
  <dcterms:modified xsi:type="dcterms:W3CDTF">2020-06-11T03:19:00Z</dcterms:modified>
</cp:coreProperties>
</file>