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F1FD2" w14:textId="77777777" w:rsidR="008C088C" w:rsidRPr="008C088C" w:rsidRDefault="008C088C" w:rsidP="008C088C">
      <w:pPr>
        <w:rPr>
          <w:rFonts w:ascii="Calibri" w:hAnsi="Calibri" w:cs="Calibri"/>
          <w:b/>
          <w:bCs/>
        </w:rPr>
      </w:pPr>
      <w:r w:rsidRPr="008C088C">
        <w:rPr>
          <w:rFonts w:ascii="Calibri" w:hAnsi="Calibri" w:cs="Calibri"/>
          <w:b/>
          <w:bCs/>
        </w:rPr>
        <w:t>Financial Analysis Report</w:t>
      </w:r>
    </w:p>
    <w:p w14:paraId="11C48CAA" w14:textId="77777777" w:rsidR="008C088C" w:rsidRPr="008C088C" w:rsidRDefault="008C088C" w:rsidP="008C088C">
      <w:pPr>
        <w:rPr>
          <w:rFonts w:ascii="Calibri" w:hAnsi="Calibri" w:cs="Calibri"/>
          <w:b/>
          <w:bCs/>
        </w:rPr>
      </w:pPr>
      <w:r w:rsidRPr="008C088C">
        <w:rPr>
          <w:rFonts w:ascii="Calibri" w:hAnsi="Calibri" w:cs="Calibri"/>
          <w:b/>
          <w:bCs/>
        </w:rPr>
        <w:t>Executive Summary</w:t>
      </w:r>
    </w:p>
    <w:p w14:paraId="3C551346" w14:textId="77777777" w:rsidR="008C088C" w:rsidRPr="008C088C" w:rsidRDefault="008C088C" w:rsidP="008C088C">
      <w:pPr>
        <w:rPr>
          <w:rFonts w:ascii="Calibri" w:hAnsi="Calibri" w:cs="Calibri"/>
        </w:rPr>
      </w:pPr>
      <w:r w:rsidRPr="008C088C">
        <w:rPr>
          <w:rFonts w:ascii="Calibri" w:hAnsi="Calibri" w:cs="Calibri"/>
        </w:rPr>
        <w:t>This report presents a comprehensive financial analysis of the company's performance, focusing on revenue growth, cost efficiency, liquidity, and liabilities management. The findings reveal strong revenue growth, improved cash flow, and stable cost structures while highlighting potential risks related to accounts receivable, liabilities, and supplier payments.</w:t>
      </w:r>
    </w:p>
    <w:p w14:paraId="26D14324" w14:textId="77777777" w:rsidR="008C088C" w:rsidRPr="008C088C" w:rsidRDefault="008C088C" w:rsidP="008C088C">
      <w:pPr>
        <w:rPr>
          <w:rFonts w:ascii="Calibri" w:hAnsi="Calibri" w:cs="Calibri"/>
          <w:b/>
          <w:bCs/>
        </w:rPr>
      </w:pPr>
      <w:r w:rsidRPr="008C088C">
        <w:rPr>
          <w:rFonts w:ascii="Calibri" w:hAnsi="Calibri" w:cs="Calibri"/>
          <w:b/>
          <w:bCs/>
        </w:rPr>
        <w:t>Key Financial Insights</w:t>
      </w:r>
    </w:p>
    <w:p w14:paraId="45098655" w14:textId="77777777" w:rsidR="008C088C" w:rsidRPr="008C088C" w:rsidRDefault="008C088C" w:rsidP="008C088C">
      <w:pPr>
        <w:rPr>
          <w:rFonts w:ascii="Calibri" w:hAnsi="Calibri" w:cs="Calibri"/>
          <w:b/>
          <w:bCs/>
        </w:rPr>
      </w:pPr>
      <w:r w:rsidRPr="008C088C">
        <w:rPr>
          <w:rFonts w:ascii="Calibri" w:hAnsi="Calibri" w:cs="Calibri"/>
          <w:b/>
          <w:bCs/>
        </w:rPr>
        <w:t>1. Revenue Growth and Profitability</w:t>
      </w:r>
    </w:p>
    <w:p w14:paraId="197344F2" w14:textId="77777777" w:rsidR="008C088C" w:rsidRPr="008C088C" w:rsidRDefault="008C088C" w:rsidP="008C088C">
      <w:pPr>
        <w:numPr>
          <w:ilvl w:val="0"/>
          <w:numId w:val="6"/>
        </w:numPr>
        <w:rPr>
          <w:rFonts w:ascii="Calibri" w:hAnsi="Calibri" w:cs="Calibri"/>
        </w:rPr>
      </w:pPr>
      <w:r w:rsidRPr="008C088C">
        <w:rPr>
          <w:rFonts w:ascii="Calibri" w:hAnsi="Calibri" w:cs="Calibri"/>
          <w:b/>
          <w:bCs/>
        </w:rPr>
        <w:t>Revenue Increased by 33.4%</w:t>
      </w:r>
      <w:r w:rsidRPr="008C088C">
        <w:rPr>
          <w:rFonts w:ascii="Calibri" w:hAnsi="Calibri" w:cs="Calibri"/>
        </w:rPr>
        <w:t>: Indicates strong sales performance and market expansion.</w:t>
      </w:r>
    </w:p>
    <w:p w14:paraId="7628B820" w14:textId="77777777" w:rsidR="008C088C" w:rsidRPr="008C088C" w:rsidRDefault="008C088C" w:rsidP="008C088C">
      <w:pPr>
        <w:numPr>
          <w:ilvl w:val="0"/>
          <w:numId w:val="6"/>
        </w:numPr>
        <w:rPr>
          <w:rFonts w:ascii="Calibri" w:hAnsi="Calibri" w:cs="Calibri"/>
        </w:rPr>
      </w:pPr>
      <w:r w:rsidRPr="008C088C">
        <w:rPr>
          <w:rFonts w:ascii="Calibri" w:hAnsi="Calibri" w:cs="Calibri"/>
          <w:b/>
          <w:bCs/>
        </w:rPr>
        <w:t>Cost of Revenues Remained Stable (-1.4%)</w:t>
      </w:r>
      <w:r w:rsidRPr="008C088C">
        <w:rPr>
          <w:rFonts w:ascii="Calibri" w:hAnsi="Calibri" w:cs="Calibri"/>
        </w:rPr>
        <w:t>: Suggests improved operational efficiency or better pricing strategies.</w:t>
      </w:r>
    </w:p>
    <w:p w14:paraId="132C9705" w14:textId="77777777" w:rsidR="008C088C" w:rsidRPr="008C088C" w:rsidRDefault="008C088C" w:rsidP="008C088C">
      <w:pPr>
        <w:numPr>
          <w:ilvl w:val="0"/>
          <w:numId w:val="6"/>
        </w:numPr>
        <w:rPr>
          <w:rFonts w:ascii="Calibri" w:hAnsi="Calibri" w:cs="Calibri"/>
        </w:rPr>
      </w:pPr>
      <w:r w:rsidRPr="008C088C">
        <w:rPr>
          <w:rFonts w:ascii="Calibri" w:hAnsi="Calibri" w:cs="Calibri"/>
          <w:b/>
          <w:bCs/>
        </w:rPr>
        <w:t>Operating Profitability Improved</w:t>
      </w:r>
      <w:r w:rsidRPr="008C088C">
        <w:rPr>
          <w:rFonts w:ascii="Calibri" w:hAnsi="Calibri" w:cs="Calibri"/>
        </w:rPr>
        <w:t xml:space="preserve">: Increased revenues without proportional cost growth </w:t>
      </w:r>
      <w:proofErr w:type="gramStart"/>
      <w:r w:rsidRPr="008C088C">
        <w:rPr>
          <w:rFonts w:ascii="Calibri" w:hAnsi="Calibri" w:cs="Calibri"/>
        </w:rPr>
        <w:t>lead</w:t>
      </w:r>
      <w:proofErr w:type="gramEnd"/>
      <w:r w:rsidRPr="008C088C">
        <w:rPr>
          <w:rFonts w:ascii="Calibri" w:hAnsi="Calibri" w:cs="Calibri"/>
        </w:rPr>
        <w:t xml:space="preserve"> to higher profit margins.</w:t>
      </w:r>
    </w:p>
    <w:p w14:paraId="30AA43CE" w14:textId="77777777" w:rsidR="008C088C" w:rsidRPr="008C088C" w:rsidRDefault="008C088C" w:rsidP="008C088C">
      <w:pPr>
        <w:rPr>
          <w:rFonts w:ascii="Calibri" w:hAnsi="Calibri" w:cs="Calibri"/>
        </w:rPr>
      </w:pPr>
      <w:r w:rsidRPr="008C088C">
        <w:rPr>
          <w:rFonts w:ascii="Calibri" w:hAnsi="Calibri" w:cs="Calibri"/>
          <w:b/>
          <w:bCs/>
        </w:rPr>
        <w:t>Recommendation:</w:t>
      </w:r>
      <w:r w:rsidRPr="008C088C">
        <w:rPr>
          <w:rFonts w:ascii="Calibri" w:hAnsi="Calibri" w:cs="Calibri"/>
        </w:rPr>
        <w:t xml:space="preserve"> Maintain cost control measures while reinvesting in high-performing segments.</w:t>
      </w:r>
    </w:p>
    <w:p w14:paraId="0EF7F707" w14:textId="77777777" w:rsidR="008C088C" w:rsidRPr="008C088C" w:rsidRDefault="008C088C" w:rsidP="008C088C">
      <w:pPr>
        <w:rPr>
          <w:rFonts w:ascii="Calibri" w:hAnsi="Calibri" w:cs="Calibri"/>
          <w:b/>
          <w:bCs/>
        </w:rPr>
      </w:pPr>
      <w:r w:rsidRPr="008C088C">
        <w:rPr>
          <w:rFonts w:ascii="Calibri" w:hAnsi="Calibri" w:cs="Calibri"/>
          <w:b/>
          <w:bCs/>
        </w:rPr>
        <w:t>2. Liquidity and Cash Flow Management</w:t>
      </w:r>
    </w:p>
    <w:p w14:paraId="59CC7C11" w14:textId="77777777" w:rsidR="008C088C" w:rsidRPr="008C088C" w:rsidRDefault="008C088C" w:rsidP="008C088C">
      <w:pPr>
        <w:numPr>
          <w:ilvl w:val="0"/>
          <w:numId w:val="7"/>
        </w:numPr>
        <w:rPr>
          <w:rFonts w:ascii="Calibri" w:hAnsi="Calibri" w:cs="Calibri"/>
        </w:rPr>
      </w:pPr>
      <w:r w:rsidRPr="008C088C">
        <w:rPr>
          <w:rFonts w:ascii="Calibri" w:hAnsi="Calibri" w:cs="Calibri"/>
          <w:b/>
          <w:bCs/>
        </w:rPr>
        <w:t>Cash and Cash Equivalents Increased by 94.8%</w:t>
      </w:r>
      <w:r w:rsidRPr="008C088C">
        <w:rPr>
          <w:rFonts w:ascii="Calibri" w:hAnsi="Calibri" w:cs="Calibri"/>
        </w:rPr>
        <w:t>: Indicates strong liquidity, providing flexibility for future investments.</w:t>
      </w:r>
    </w:p>
    <w:p w14:paraId="14C07EAE" w14:textId="77777777" w:rsidR="008C088C" w:rsidRPr="008C088C" w:rsidRDefault="008C088C" w:rsidP="008C088C">
      <w:pPr>
        <w:numPr>
          <w:ilvl w:val="0"/>
          <w:numId w:val="7"/>
        </w:numPr>
        <w:rPr>
          <w:rFonts w:ascii="Calibri" w:hAnsi="Calibri" w:cs="Calibri"/>
        </w:rPr>
      </w:pPr>
      <w:r w:rsidRPr="008C088C">
        <w:rPr>
          <w:rFonts w:ascii="Calibri" w:hAnsi="Calibri" w:cs="Calibri"/>
          <w:b/>
          <w:bCs/>
        </w:rPr>
        <w:t>Operating Cash Flow Increased by 19%</w:t>
      </w:r>
      <w:r w:rsidRPr="008C088C">
        <w:rPr>
          <w:rFonts w:ascii="Calibri" w:hAnsi="Calibri" w:cs="Calibri"/>
        </w:rPr>
        <w:t>: Positive trend showing financial sustainability from core operations.</w:t>
      </w:r>
    </w:p>
    <w:p w14:paraId="37C89F45" w14:textId="77777777" w:rsidR="008C088C" w:rsidRPr="008C088C" w:rsidRDefault="008C088C" w:rsidP="008C088C">
      <w:pPr>
        <w:numPr>
          <w:ilvl w:val="0"/>
          <w:numId w:val="7"/>
        </w:numPr>
        <w:rPr>
          <w:rFonts w:ascii="Calibri" w:hAnsi="Calibri" w:cs="Calibri"/>
        </w:rPr>
      </w:pPr>
      <w:r w:rsidRPr="008C088C">
        <w:rPr>
          <w:rFonts w:ascii="Calibri" w:hAnsi="Calibri" w:cs="Calibri"/>
          <w:b/>
          <w:bCs/>
        </w:rPr>
        <w:t>Accounts Receivable Increased by 15.5%</w:t>
      </w:r>
      <w:r w:rsidRPr="008C088C">
        <w:rPr>
          <w:rFonts w:ascii="Calibri" w:hAnsi="Calibri" w:cs="Calibri"/>
        </w:rPr>
        <w:t>: Suggests higher credit sales, which could impact cash flow if not managed properly.</w:t>
      </w:r>
    </w:p>
    <w:p w14:paraId="2692ED8A" w14:textId="77777777" w:rsidR="008C088C" w:rsidRPr="008C088C" w:rsidRDefault="008C088C" w:rsidP="008C088C">
      <w:pPr>
        <w:rPr>
          <w:rFonts w:ascii="Calibri" w:hAnsi="Calibri" w:cs="Calibri"/>
        </w:rPr>
      </w:pPr>
      <w:r w:rsidRPr="008C088C">
        <w:rPr>
          <w:rFonts w:ascii="Calibri" w:hAnsi="Calibri" w:cs="Calibri"/>
          <w:b/>
          <w:bCs/>
        </w:rPr>
        <w:t>Recommendation:</w:t>
      </w:r>
      <w:r w:rsidRPr="008C088C">
        <w:rPr>
          <w:rFonts w:ascii="Calibri" w:hAnsi="Calibri" w:cs="Calibri"/>
        </w:rPr>
        <w:t xml:space="preserve"> Optimize credit policies and enhance collections to improve cash flow stability.</w:t>
      </w:r>
    </w:p>
    <w:p w14:paraId="6DAF87F1" w14:textId="77777777" w:rsidR="008C088C" w:rsidRPr="008C088C" w:rsidRDefault="008C088C" w:rsidP="008C088C">
      <w:pPr>
        <w:rPr>
          <w:rFonts w:ascii="Calibri" w:hAnsi="Calibri" w:cs="Calibri"/>
          <w:b/>
          <w:bCs/>
        </w:rPr>
      </w:pPr>
      <w:r w:rsidRPr="008C088C">
        <w:rPr>
          <w:rFonts w:ascii="Calibri" w:hAnsi="Calibri" w:cs="Calibri"/>
          <w:b/>
          <w:bCs/>
        </w:rPr>
        <w:t>3. Accounts Payable and Supplier Management</w:t>
      </w:r>
    </w:p>
    <w:p w14:paraId="01FF2D54" w14:textId="77777777" w:rsidR="008C088C" w:rsidRPr="008C088C" w:rsidRDefault="008C088C" w:rsidP="008C088C">
      <w:pPr>
        <w:numPr>
          <w:ilvl w:val="0"/>
          <w:numId w:val="8"/>
        </w:numPr>
        <w:rPr>
          <w:rFonts w:ascii="Calibri" w:hAnsi="Calibri" w:cs="Calibri"/>
        </w:rPr>
      </w:pPr>
      <w:r w:rsidRPr="008C088C">
        <w:rPr>
          <w:rFonts w:ascii="Calibri" w:hAnsi="Calibri" w:cs="Calibri"/>
          <w:b/>
          <w:bCs/>
        </w:rPr>
        <w:t>Accounts Payable Increased by 93.2%</w:t>
      </w:r>
      <w:r w:rsidRPr="008C088C">
        <w:rPr>
          <w:rFonts w:ascii="Calibri" w:hAnsi="Calibri" w:cs="Calibri"/>
        </w:rPr>
        <w:t>: Reflects delayed supplier payments, possibly as a liquidity strategy.</w:t>
      </w:r>
    </w:p>
    <w:p w14:paraId="357A9DE6" w14:textId="77777777" w:rsidR="008C088C" w:rsidRPr="008C088C" w:rsidRDefault="008C088C" w:rsidP="008C088C">
      <w:pPr>
        <w:numPr>
          <w:ilvl w:val="0"/>
          <w:numId w:val="8"/>
        </w:numPr>
        <w:rPr>
          <w:rFonts w:ascii="Calibri" w:hAnsi="Calibri" w:cs="Calibri"/>
        </w:rPr>
      </w:pPr>
      <w:r w:rsidRPr="008C088C">
        <w:rPr>
          <w:rFonts w:ascii="Calibri" w:hAnsi="Calibri" w:cs="Calibri"/>
          <w:b/>
          <w:bCs/>
        </w:rPr>
        <w:t>Accrued Expenses Increased by 21.8%</w:t>
      </w:r>
      <w:r w:rsidRPr="008C088C">
        <w:rPr>
          <w:rFonts w:ascii="Calibri" w:hAnsi="Calibri" w:cs="Calibri"/>
        </w:rPr>
        <w:t>: Indicates rising short-term liabilities that require careful monitoring.</w:t>
      </w:r>
    </w:p>
    <w:p w14:paraId="3C0844BE" w14:textId="77777777" w:rsidR="008C088C" w:rsidRPr="008C088C" w:rsidRDefault="008C088C" w:rsidP="008C088C">
      <w:pPr>
        <w:rPr>
          <w:rFonts w:ascii="Calibri" w:hAnsi="Calibri" w:cs="Calibri"/>
        </w:rPr>
      </w:pPr>
      <w:r w:rsidRPr="008C088C">
        <w:rPr>
          <w:rFonts w:ascii="Calibri" w:hAnsi="Calibri" w:cs="Calibri"/>
          <w:b/>
          <w:bCs/>
        </w:rPr>
        <w:t>Recommendation:</w:t>
      </w:r>
      <w:r w:rsidRPr="008C088C">
        <w:rPr>
          <w:rFonts w:ascii="Calibri" w:hAnsi="Calibri" w:cs="Calibri"/>
        </w:rPr>
        <w:t xml:space="preserve"> Negotiate better payment terms with suppliers to avoid potential liquidity strain.</w:t>
      </w:r>
    </w:p>
    <w:p w14:paraId="244202BE" w14:textId="77777777" w:rsidR="008C088C" w:rsidRPr="008C088C" w:rsidRDefault="008C088C" w:rsidP="008C088C">
      <w:pPr>
        <w:rPr>
          <w:rFonts w:ascii="Calibri" w:hAnsi="Calibri" w:cs="Calibri"/>
          <w:b/>
          <w:bCs/>
        </w:rPr>
      </w:pPr>
      <w:r w:rsidRPr="008C088C">
        <w:rPr>
          <w:rFonts w:ascii="Calibri" w:hAnsi="Calibri" w:cs="Calibri"/>
          <w:b/>
          <w:bCs/>
        </w:rPr>
        <w:t>4. Liabilities and Financing Structure</w:t>
      </w:r>
    </w:p>
    <w:p w14:paraId="13700513" w14:textId="77777777" w:rsidR="008C088C" w:rsidRPr="008C088C" w:rsidRDefault="008C088C" w:rsidP="008C088C">
      <w:pPr>
        <w:numPr>
          <w:ilvl w:val="0"/>
          <w:numId w:val="9"/>
        </w:numPr>
        <w:rPr>
          <w:rFonts w:ascii="Calibri" w:hAnsi="Calibri" w:cs="Calibri"/>
        </w:rPr>
      </w:pPr>
      <w:r w:rsidRPr="008C088C">
        <w:rPr>
          <w:rFonts w:ascii="Calibri" w:hAnsi="Calibri" w:cs="Calibri"/>
          <w:b/>
          <w:bCs/>
        </w:rPr>
        <w:t>Total Liabilities Increased by 95.9%</w:t>
      </w:r>
      <w:r w:rsidRPr="008C088C">
        <w:rPr>
          <w:rFonts w:ascii="Calibri" w:hAnsi="Calibri" w:cs="Calibri"/>
        </w:rPr>
        <w:t>: Primarily due to related party transactions, indicating reliance on internal/external affiliated funding.</w:t>
      </w:r>
    </w:p>
    <w:p w14:paraId="4B7F5968" w14:textId="77777777" w:rsidR="008C088C" w:rsidRPr="008C088C" w:rsidRDefault="008C088C" w:rsidP="008C088C">
      <w:pPr>
        <w:numPr>
          <w:ilvl w:val="0"/>
          <w:numId w:val="9"/>
        </w:numPr>
        <w:rPr>
          <w:rFonts w:ascii="Calibri" w:hAnsi="Calibri" w:cs="Calibri"/>
        </w:rPr>
      </w:pPr>
      <w:r w:rsidRPr="008C088C">
        <w:rPr>
          <w:rFonts w:ascii="Calibri" w:hAnsi="Calibri" w:cs="Calibri"/>
          <w:b/>
          <w:bCs/>
        </w:rPr>
        <w:t>Potential Risk</w:t>
      </w:r>
      <w:r w:rsidRPr="008C088C">
        <w:rPr>
          <w:rFonts w:ascii="Calibri" w:hAnsi="Calibri" w:cs="Calibri"/>
        </w:rPr>
        <w:t xml:space="preserve">: Heavy reliance on related party financing may pose financial stability concerns if repayment terms are not </w:t>
      </w:r>
      <w:proofErr w:type="spellStart"/>
      <w:r w:rsidRPr="008C088C">
        <w:rPr>
          <w:rFonts w:ascii="Calibri" w:hAnsi="Calibri" w:cs="Calibri"/>
        </w:rPr>
        <w:t>favorable</w:t>
      </w:r>
      <w:proofErr w:type="spellEnd"/>
      <w:r w:rsidRPr="008C088C">
        <w:rPr>
          <w:rFonts w:ascii="Calibri" w:hAnsi="Calibri" w:cs="Calibri"/>
        </w:rPr>
        <w:t>.</w:t>
      </w:r>
    </w:p>
    <w:p w14:paraId="6F95CAC3" w14:textId="77777777" w:rsidR="008C088C" w:rsidRPr="008C088C" w:rsidRDefault="008C088C" w:rsidP="008C088C">
      <w:pPr>
        <w:rPr>
          <w:rFonts w:ascii="Calibri" w:hAnsi="Calibri" w:cs="Calibri"/>
        </w:rPr>
      </w:pPr>
      <w:r w:rsidRPr="008C088C">
        <w:rPr>
          <w:rFonts w:ascii="Calibri" w:hAnsi="Calibri" w:cs="Calibri"/>
          <w:b/>
          <w:bCs/>
        </w:rPr>
        <w:lastRenderedPageBreak/>
        <w:t>Recommendation:</w:t>
      </w:r>
      <w:r w:rsidRPr="008C088C">
        <w:rPr>
          <w:rFonts w:ascii="Calibri" w:hAnsi="Calibri" w:cs="Calibri"/>
        </w:rPr>
        <w:t xml:space="preserve"> Diversify funding sources and reduce dependency on related party financing where possible.</w:t>
      </w:r>
    </w:p>
    <w:p w14:paraId="60908ED4" w14:textId="77777777" w:rsidR="008C088C" w:rsidRPr="008C088C" w:rsidRDefault="008C088C" w:rsidP="008C088C">
      <w:pPr>
        <w:rPr>
          <w:rFonts w:ascii="Calibri" w:hAnsi="Calibri" w:cs="Calibri"/>
          <w:b/>
          <w:bCs/>
        </w:rPr>
      </w:pPr>
      <w:r w:rsidRPr="008C088C">
        <w:rPr>
          <w:rFonts w:ascii="Calibri" w:hAnsi="Calibri" w:cs="Calibri"/>
          <w:b/>
          <w:bCs/>
        </w:rPr>
        <w:t>Strategic Recommendations</w:t>
      </w:r>
    </w:p>
    <w:p w14:paraId="24C43BC0" w14:textId="77777777" w:rsidR="008C088C" w:rsidRPr="008C088C" w:rsidRDefault="008C088C" w:rsidP="008C088C">
      <w:pPr>
        <w:numPr>
          <w:ilvl w:val="0"/>
          <w:numId w:val="10"/>
        </w:numPr>
        <w:rPr>
          <w:rFonts w:ascii="Calibri" w:hAnsi="Calibri" w:cs="Calibri"/>
        </w:rPr>
      </w:pPr>
      <w:r w:rsidRPr="008C088C">
        <w:rPr>
          <w:rFonts w:ascii="Calibri" w:hAnsi="Calibri" w:cs="Calibri"/>
          <w:b/>
          <w:bCs/>
        </w:rPr>
        <w:t>Reinvest High Cash Reserves</w:t>
      </w:r>
      <w:r w:rsidRPr="008C088C">
        <w:rPr>
          <w:rFonts w:ascii="Calibri" w:hAnsi="Calibri" w:cs="Calibri"/>
        </w:rPr>
        <w:t xml:space="preserve"> – Allocate funds to expansion, marketing, or R&amp;D for sustained growth.</w:t>
      </w:r>
    </w:p>
    <w:p w14:paraId="1734FB56" w14:textId="77777777" w:rsidR="008C088C" w:rsidRPr="008C088C" w:rsidRDefault="008C088C" w:rsidP="008C088C">
      <w:pPr>
        <w:numPr>
          <w:ilvl w:val="0"/>
          <w:numId w:val="10"/>
        </w:numPr>
        <w:rPr>
          <w:rFonts w:ascii="Calibri" w:hAnsi="Calibri" w:cs="Calibri"/>
        </w:rPr>
      </w:pPr>
      <w:r w:rsidRPr="008C088C">
        <w:rPr>
          <w:rFonts w:ascii="Calibri" w:hAnsi="Calibri" w:cs="Calibri"/>
          <w:b/>
          <w:bCs/>
        </w:rPr>
        <w:t>Optimize Credit Collection</w:t>
      </w:r>
      <w:r w:rsidRPr="008C088C">
        <w:rPr>
          <w:rFonts w:ascii="Calibri" w:hAnsi="Calibri" w:cs="Calibri"/>
        </w:rPr>
        <w:t xml:space="preserve"> – Implement stricter credit control policies to reduce accounts receivable risk.</w:t>
      </w:r>
    </w:p>
    <w:p w14:paraId="669AC9C3" w14:textId="77777777" w:rsidR="008C088C" w:rsidRPr="008C088C" w:rsidRDefault="008C088C" w:rsidP="008C088C">
      <w:pPr>
        <w:numPr>
          <w:ilvl w:val="0"/>
          <w:numId w:val="10"/>
        </w:numPr>
        <w:rPr>
          <w:rFonts w:ascii="Calibri" w:hAnsi="Calibri" w:cs="Calibri"/>
        </w:rPr>
      </w:pPr>
      <w:r w:rsidRPr="008C088C">
        <w:rPr>
          <w:rFonts w:ascii="Calibri" w:hAnsi="Calibri" w:cs="Calibri"/>
          <w:b/>
          <w:bCs/>
        </w:rPr>
        <w:t>Manage Supplier Payment Terms</w:t>
      </w:r>
      <w:r w:rsidRPr="008C088C">
        <w:rPr>
          <w:rFonts w:ascii="Calibri" w:hAnsi="Calibri" w:cs="Calibri"/>
        </w:rPr>
        <w:t xml:space="preserve"> – Balance supplier negotiations with liquidity management.</w:t>
      </w:r>
    </w:p>
    <w:p w14:paraId="5B3B2E88" w14:textId="77777777" w:rsidR="008C088C" w:rsidRPr="008C088C" w:rsidRDefault="008C088C" w:rsidP="008C088C">
      <w:pPr>
        <w:numPr>
          <w:ilvl w:val="0"/>
          <w:numId w:val="10"/>
        </w:numPr>
        <w:rPr>
          <w:rFonts w:ascii="Calibri" w:hAnsi="Calibri" w:cs="Calibri"/>
        </w:rPr>
      </w:pPr>
      <w:r w:rsidRPr="008C088C">
        <w:rPr>
          <w:rFonts w:ascii="Calibri" w:hAnsi="Calibri" w:cs="Calibri"/>
          <w:b/>
          <w:bCs/>
        </w:rPr>
        <w:t>Diversify Financial Structure</w:t>
      </w:r>
      <w:r w:rsidRPr="008C088C">
        <w:rPr>
          <w:rFonts w:ascii="Calibri" w:hAnsi="Calibri" w:cs="Calibri"/>
        </w:rPr>
        <w:t xml:space="preserve"> – Explore alternative financing options to mitigate related-party risk.</w:t>
      </w:r>
    </w:p>
    <w:p w14:paraId="0874F871" w14:textId="77777777" w:rsidR="008C088C" w:rsidRPr="008C088C" w:rsidRDefault="008C088C" w:rsidP="008C088C">
      <w:pPr>
        <w:rPr>
          <w:rFonts w:ascii="Calibri" w:hAnsi="Calibri" w:cs="Calibri"/>
          <w:b/>
          <w:bCs/>
        </w:rPr>
      </w:pPr>
      <w:r w:rsidRPr="008C088C">
        <w:rPr>
          <w:rFonts w:ascii="Calibri" w:hAnsi="Calibri" w:cs="Calibri"/>
          <w:b/>
          <w:bCs/>
        </w:rPr>
        <w:t>Conclusion</w:t>
      </w:r>
    </w:p>
    <w:p w14:paraId="0A6BC326" w14:textId="77777777" w:rsidR="008C088C" w:rsidRPr="008C088C" w:rsidRDefault="008C088C" w:rsidP="008C088C">
      <w:pPr>
        <w:rPr>
          <w:rFonts w:ascii="Calibri" w:hAnsi="Calibri" w:cs="Calibri"/>
        </w:rPr>
      </w:pPr>
      <w:r w:rsidRPr="008C088C">
        <w:rPr>
          <w:rFonts w:ascii="Calibri" w:hAnsi="Calibri" w:cs="Calibri"/>
        </w:rPr>
        <w:t>The company is experiencing robust growth with strong profitability and liquidity. However, attention should be given to credit management, liability structure, and supplier relations to ensure long-term financial stability. Strategic reinvestment and financial risk mitigation will be crucial for continued success.</w:t>
      </w:r>
    </w:p>
    <w:p w14:paraId="072988E7" w14:textId="10E3EB42" w:rsidR="00F263B8" w:rsidRPr="008C088C" w:rsidRDefault="00013709">
      <w:pPr>
        <w:rPr>
          <w:rFonts w:ascii="Calibri" w:hAnsi="Calibri" w:cs="Calibri"/>
        </w:rPr>
      </w:pPr>
      <w:r>
        <w:rPr>
          <w:noProof/>
        </w:rPr>
        <w:drawing>
          <wp:inline distT="0" distB="0" distL="0" distR="0" wp14:anchorId="1CD43969" wp14:editId="683D90D5">
            <wp:extent cx="5731510" cy="1851025"/>
            <wp:effectExtent l="0" t="0" r="2540" b="0"/>
            <wp:docPr id="1878504667" name="Picture 1"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04667" name="Picture 1" descr="A graph with red squares&#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851025"/>
                    </a:xfrm>
                    <a:prstGeom prst="rect">
                      <a:avLst/>
                    </a:prstGeom>
                    <a:noFill/>
                    <a:ln>
                      <a:noFill/>
                    </a:ln>
                  </pic:spPr>
                </pic:pic>
              </a:graphicData>
            </a:graphic>
          </wp:inline>
        </w:drawing>
      </w:r>
    </w:p>
    <w:sectPr w:rsidR="00F263B8" w:rsidRPr="008C08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4F7"/>
    <w:multiLevelType w:val="multilevel"/>
    <w:tmpl w:val="C66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630A6"/>
    <w:multiLevelType w:val="multilevel"/>
    <w:tmpl w:val="276C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F40DB6"/>
    <w:multiLevelType w:val="multilevel"/>
    <w:tmpl w:val="867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D4D30"/>
    <w:multiLevelType w:val="multilevel"/>
    <w:tmpl w:val="F0F8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D320A"/>
    <w:multiLevelType w:val="multilevel"/>
    <w:tmpl w:val="E088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142EF8"/>
    <w:multiLevelType w:val="multilevel"/>
    <w:tmpl w:val="5EA6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850EE"/>
    <w:multiLevelType w:val="multilevel"/>
    <w:tmpl w:val="DE145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E17FF0"/>
    <w:multiLevelType w:val="multilevel"/>
    <w:tmpl w:val="DBAC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AD2470"/>
    <w:multiLevelType w:val="multilevel"/>
    <w:tmpl w:val="4586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0785C"/>
    <w:multiLevelType w:val="multilevel"/>
    <w:tmpl w:val="4460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76005">
    <w:abstractNumId w:val="0"/>
  </w:num>
  <w:num w:numId="2" w16cid:durableId="209419324">
    <w:abstractNumId w:val="4"/>
  </w:num>
  <w:num w:numId="3" w16cid:durableId="2001693228">
    <w:abstractNumId w:val="7"/>
  </w:num>
  <w:num w:numId="4" w16cid:durableId="247927840">
    <w:abstractNumId w:val="8"/>
  </w:num>
  <w:num w:numId="5" w16cid:durableId="902521237">
    <w:abstractNumId w:val="6"/>
  </w:num>
  <w:num w:numId="6" w16cid:durableId="121114545">
    <w:abstractNumId w:val="5"/>
  </w:num>
  <w:num w:numId="7" w16cid:durableId="1043599169">
    <w:abstractNumId w:val="3"/>
  </w:num>
  <w:num w:numId="8" w16cid:durableId="389310014">
    <w:abstractNumId w:val="9"/>
  </w:num>
  <w:num w:numId="9" w16cid:durableId="2081898180">
    <w:abstractNumId w:val="2"/>
  </w:num>
  <w:num w:numId="10" w16cid:durableId="664668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88C"/>
    <w:rsid w:val="00013709"/>
    <w:rsid w:val="00307B77"/>
    <w:rsid w:val="005C51BB"/>
    <w:rsid w:val="00815791"/>
    <w:rsid w:val="008C088C"/>
    <w:rsid w:val="00A475A8"/>
    <w:rsid w:val="00F263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6D233"/>
  <w15:chartTrackingRefBased/>
  <w15:docId w15:val="{FA7EE5B1-AF4E-4FFB-B712-8B4437EC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88C"/>
  </w:style>
  <w:style w:type="paragraph" w:styleId="Heading1">
    <w:name w:val="heading 1"/>
    <w:basedOn w:val="Normal"/>
    <w:next w:val="Normal"/>
    <w:link w:val="Heading1Char"/>
    <w:uiPriority w:val="9"/>
    <w:qFormat/>
    <w:rsid w:val="008C088C"/>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88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8C088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C088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C088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C088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C088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C088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C088C"/>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88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8C088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8C088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C088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C088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C088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C088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C088C"/>
    <w:rPr>
      <w:b/>
      <w:bCs/>
      <w:i/>
      <w:iCs/>
    </w:rPr>
  </w:style>
  <w:style w:type="paragraph" w:styleId="Title">
    <w:name w:val="Title"/>
    <w:basedOn w:val="Normal"/>
    <w:next w:val="Normal"/>
    <w:link w:val="TitleChar"/>
    <w:uiPriority w:val="10"/>
    <w:qFormat/>
    <w:rsid w:val="008C088C"/>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8C088C"/>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8C088C"/>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8C088C"/>
    <w:rPr>
      <w:color w:val="0E2841" w:themeColor="text2"/>
      <w:sz w:val="28"/>
      <w:szCs w:val="28"/>
    </w:rPr>
  </w:style>
  <w:style w:type="paragraph" w:styleId="Quote">
    <w:name w:val="Quote"/>
    <w:basedOn w:val="Normal"/>
    <w:next w:val="Normal"/>
    <w:link w:val="QuoteChar"/>
    <w:uiPriority w:val="29"/>
    <w:qFormat/>
    <w:rsid w:val="008C088C"/>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8C088C"/>
    <w:rPr>
      <w:i/>
      <w:iCs/>
      <w:color w:val="124F1A" w:themeColor="accent3" w:themeShade="BF"/>
      <w:sz w:val="24"/>
      <w:szCs w:val="24"/>
    </w:rPr>
  </w:style>
  <w:style w:type="paragraph" w:styleId="ListParagraph">
    <w:name w:val="List Paragraph"/>
    <w:basedOn w:val="Normal"/>
    <w:uiPriority w:val="34"/>
    <w:qFormat/>
    <w:rsid w:val="008C088C"/>
    <w:pPr>
      <w:ind w:left="720"/>
      <w:contextualSpacing/>
    </w:pPr>
  </w:style>
  <w:style w:type="character" w:styleId="IntenseEmphasis">
    <w:name w:val="Intense Emphasis"/>
    <w:basedOn w:val="DefaultParagraphFont"/>
    <w:uiPriority w:val="21"/>
    <w:qFormat/>
    <w:rsid w:val="008C088C"/>
    <w:rPr>
      <w:b/>
      <w:bCs/>
      <w:i/>
      <w:iCs/>
      <w:color w:val="auto"/>
    </w:rPr>
  </w:style>
  <w:style w:type="paragraph" w:styleId="IntenseQuote">
    <w:name w:val="Intense Quote"/>
    <w:basedOn w:val="Normal"/>
    <w:next w:val="Normal"/>
    <w:link w:val="IntenseQuoteChar"/>
    <w:uiPriority w:val="30"/>
    <w:qFormat/>
    <w:rsid w:val="008C088C"/>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8C088C"/>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8C088C"/>
    <w:rPr>
      <w:b/>
      <w:bCs/>
      <w:caps w:val="0"/>
      <w:smallCaps/>
      <w:color w:val="auto"/>
      <w:spacing w:val="0"/>
      <w:u w:val="single"/>
    </w:rPr>
  </w:style>
  <w:style w:type="paragraph" w:styleId="Caption">
    <w:name w:val="caption"/>
    <w:basedOn w:val="Normal"/>
    <w:next w:val="Normal"/>
    <w:uiPriority w:val="35"/>
    <w:semiHidden/>
    <w:unhideWhenUsed/>
    <w:qFormat/>
    <w:rsid w:val="008C088C"/>
    <w:pPr>
      <w:spacing w:line="240" w:lineRule="auto"/>
    </w:pPr>
    <w:rPr>
      <w:b/>
      <w:bCs/>
      <w:color w:val="404040" w:themeColor="text1" w:themeTint="BF"/>
      <w:sz w:val="16"/>
      <w:szCs w:val="16"/>
    </w:rPr>
  </w:style>
  <w:style w:type="character" w:styleId="Strong">
    <w:name w:val="Strong"/>
    <w:basedOn w:val="DefaultParagraphFont"/>
    <w:uiPriority w:val="22"/>
    <w:qFormat/>
    <w:rsid w:val="008C088C"/>
    <w:rPr>
      <w:b/>
      <w:bCs/>
    </w:rPr>
  </w:style>
  <w:style w:type="character" w:styleId="Emphasis">
    <w:name w:val="Emphasis"/>
    <w:basedOn w:val="DefaultParagraphFont"/>
    <w:uiPriority w:val="20"/>
    <w:qFormat/>
    <w:rsid w:val="008C088C"/>
    <w:rPr>
      <w:i/>
      <w:iCs/>
      <w:color w:val="000000" w:themeColor="text1"/>
    </w:rPr>
  </w:style>
  <w:style w:type="paragraph" w:styleId="NoSpacing">
    <w:name w:val="No Spacing"/>
    <w:uiPriority w:val="1"/>
    <w:qFormat/>
    <w:rsid w:val="008C088C"/>
    <w:pPr>
      <w:spacing w:after="0" w:line="240" w:lineRule="auto"/>
    </w:pPr>
  </w:style>
  <w:style w:type="character" w:styleId="SubtleEmphasis">
    <w:name w:val="Subtle Emphasis"/>
    <w:basedOn w:val="DefaultParagraphFont"/>
    <w:uiPriority w:val="19"/>
    <w:qFormat/>
    <w:rsid w:val="008C088C"/>
    <w:rPr>
      <w:i/>
      <w:iCs/>
      <w:color w:val="595959" w:themeColor="text1" w:themeTint="A6"/>
    </w:rPr>
  </w:style>
  <w:style w:type="character" w:styleId="SubtleReference">
    <w:name w:val="Subtle Reference"/>
    <w:basedOn w:val="DefaultParagraphFont"/>
    <w:uiPriority w:val="31"/>
    <w:qFormat/>
    <w:rsid w:val="008C088C"/>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8C088C"/>
    <w:rPr>
      <w:b/>
      <w:bCs/>
      <w:caps w:val="0"/>
      <w:smallCaps/>
      <w:spacing w:val="0"/>
    </w:rPr>
  </w:style>
  <w:style w:type="paragraph" w:styleId="TOCHeading">
    <w:name w:val="TOC Heading"/>
    <w:basedOn w:val="Heading1"/>
    <w:next w:val="Normal"/>
    <w:uiPriority w:val="39"/>
    <w:semiHidden/>
    <w:unhideWhenUsed/>
    <w:qFormat/>
    <w:rsid w:val="008C088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7049355">
      <w:bodyDiv w:val="1"/>
      <w:marLeft w:val="0"/>
      <w:marRight w:val="0"/>
      <w:marTop w:val="0"/>
      <w:marBottom w:val="0"/>
      <w:divBdr>
        <w:top w:val="none" w:sz="0" w:space="0" w:color="auto"/>
        <w:left w:val="none" w:sz="0" w:space="0" w:color="auto"/>
        <w:bottom w:val="none" w:sz="0" w:space="0" w:color="auto"/>
        <w:right w:val="none" w:sz="0" w:space="0" w:color="auto"/>
      </w:divBdr>
    </w:div>
    <w:div w:id="1373116006">
      <w:bodyDiv w:val="1"/>
      <w:marLeft w:val="0"/>
      <w:marRight w:val="0"/>
      <w:marTop w:val="0"/>
      <w:marBottom w:val="0"/>
      <w:divBdr>
        <w:top w:val="none" w:sz="0" w:space="0" w:color="auto"/>
        <w:left w:val="none" w:sz="0" w:space="0" w:color="auto"/>
        <w:bottom w:val="none" w:sz="0" w:space="0" w:color="auto"/>
        <w:right w:val="none" w:sz="0" w:space="0" w:color="auto"/>
      </w:divBdr>
    </w:div>
    <w:div w:id="1910649639">
      <w:bodyDiv w:val="1"/>
      <w:marLeft w:val="0"/>
      <w:marRight w:val="0"/>
      <w:marTop w:val="0"/>
      <w:marBottom w:val="0"/>
      <w:divBdr>
        <w:top w:val="none" w:sz="0" w:space="0" w:color="auto"/>
        <w:left w:val="none" w:sz="0" w:space="0" w:color="auto"/>
        <w:bottom w:val="none" w:sz="0" w:space="0" w:color="auto"/>
        <w:right w:val="none" w:sz="0" w:space="0" w:color="auto"/>
      </w:divBdr>
    </w:div>
    <w:div w:id="196098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185</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Ali</dc:creator>
  <cp:keywords/>
  <dc:description/>
  <cp:lastModifiedBy>Mahmoud Ali</cp:lastModifiedBy>
  <cp:revision>2</cp:revision>
  <dcterms:created xsi:type="dcterms:W3CDTF">2025-03-20T09:09:00Z</dcterms:created>
  <dcterms:modified xsi:type="dcterms:W3CDTF">2025-03-21T11:00:00Z</dcterms:modified>
</cp:coreProperties>
</file>