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eorgia" w:cs="Georgia" w:eastAsia="Georgia" w:hAnsi="Georgia"/>
          <w:sz w:val="24"/>
          <w:szCs w:val="24"/>
          <w:rtl w:val="0"/>
        </w:rPr>
        <w:t xml:space="preserve">After creating a low-fidelity prototype, we completed the cognitive walkthrough evaluation worksheet and </w:t>
      </w:r>
      <w:r w:rsidDel="00000000" w:rsidR="00000000" w:rsidRPr="00000000">
        <w:rPr>
          <w:rtl w:val="0"/>
        </w:rPr>
        <w:t xml:space="preserve">issues and resolution worksheet. For the cognitive walkthrough evaluation, we individually wrote steps for a task and a walkthrough scenario based on the low-fidelity prototype. Each task/walkthrough scenario selected was a specific feature of our application. At each step, we evaluated if users would encounter any issues. There were five criteria, scaled from 0 to 4, that we used to evaluate each step. After every group member completed their task, we compiled any issues with a ranking of 2 or above. As a group, we agreed on the importance of the issue and the solutions to address each issue.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completing our low-fidelity prototype, we created many placeholders that would be subject to change. Many design decisions were not addressed or required to be changed based on the group’s feedback. When completing the tasks and walkthrough scenarios individually, we needed to check that everyone’s work would not conflict with another person’s task. If we completed the tasks in small groups, then we would have had a more concise idea of our application.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Completing both the cognitive walkthrough evaluation and the issues and resolution worksheet identified which tasks are unique to our application. The tasks and issues found were applied to the high-fidelity prototype. It helped us prioritize what to implement and how to prevent user errors. </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