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testing was quick and did not encounter too many problems. Before starting the tasks, I walked through the consent form, the general purpose of the study, the process, and the overall goal/takeaways. During the user testing interview, I recorded the interview and made notes/comments on the participant's experience. There were a total of 5 tasks. At each task, I took note of struggles or actions made, specifically actions not required/additional steps made. After completing each task, I let the participant freely explore any page/screen. During that time, I asked for aspects of the prototype they enjoyed, things they would improve/change, and if the prototype met their needs. </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biggest challenge faced was finding the ‘collections’ button to complete task 5. It was not easy to find and the participant had to scroll and click buttons until the collections button was found. Another difficulty was understanding whether tracking and notifications were on or off. </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biggest takeaway from this user testing was changing the visuals for the notches for better feedback and moving the collections button so it's easier to locate. The participant commented on how the visuals seemed intuitive and natural. At the end, the user wished there was more functionality in the buttons, specifically when clicking remove the restaurant card is removed from the picks page.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