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AAAE2" w14:textId="0BB52743" w:rsidR="000F7A23" w:rsidRPr="000F7A23" w:rsidRDefault="000F7A23" w:rsidP="0075113C">
      <w:pPr>
        <w:rPr>
          <w:rFonts w:ascii="Segoe UI Emoji" w:hAnsi="Segoe UI Emoji" w:cs="Arial"/>
          <w:b/>
          <w:bCs/>
          <w:rtl/>
        </w:rPr>
      </w:pPr>
      <w:r>
        <w:rPr>
          <w:rFonts w:ascii="Segoe UI Emoji" w:hAnsi="Segoe UI Emoji" w:cs="Arial" w:hint="cs"/>
          <w:b/>
          <w:bCs/>
          <w:rtl/>
        </w:rPr>
        <w:t>تعديل بتاريخ 1 يونيو 2026</w:t>
      </w:r>
    </w:p>
    <w:p w14:paraId="59896837" w14:textId="4886320B" w:rsidR="0075113C" w:rsidRPr="0075113C" w:rsidRDefault="0075113C" w:rsidP="0075113C">
      <w:pPr>
        <w:rPr>
          <w:b/>
          <w:bCs/>
          <w:rtl/>
        </w:rPr>
      </w:pPr>
      <w:r w:rsidRPr="0075113C">
        <w:rPr>
          <w:rFonts w:ascii="Segoe UI Emoji" w:hAnsi="Segoe UI Emoji" w:cs="Segoe UI Emoji" w:hint="cs"/>
          <w:b/>
          <w:bCs/>
          <w:rtl/>
        </w:rPr>
        <w:t>📄</w:t>
      </w:r>
      <w:r w:rsidRPr="0075113C">
        <w:rPr>
          <w:b/>
          <w:bCs/>
          <w:rtl/>
        </w:rPr>
        <w:t xml:space="preserve"> </w:t>
      </w:r>
      <w:r w:rsidR="00337771">
        <w:rPr>
          <w:rFonts w:hint="cs"/>
          <w:b/>
          <w:bCs/>
          <w:rtl/>
        </w:rPr>
        <w:t xml:space="preserve">عقد </w:t>
      </w:r>
      <w:r w:rsidRPr="0075113C">
        <w:rPr>
          <w:rFonts w:ascii="Arial" w:hAnsi="Arial" w:cs="Arial" w:hint="cs"/>
          <w:b/>
          <w:bCs/>
          <w:rtl/>
        </w:rPr>
        <w:t>اتفاقية</w:t>
      </w:r>
      <w:r w:rsidRPr="0075113C">
        <w:rPr>
          <w:b/>
          <w:bCs/>
          <w:rtl/>
        </w:rPr>
        <w:t xml:space="preserve"> </w:t>
      </w:r>
      <w:r w:rsidRPr="0075113C">
        <w:rPr>
          <w:rFonts w:ascii="Arial" w:hAnsi="Arial" w:cs="Arial" w:hint="cs"/>
          <w:b/>
          <w:bCs/>
          <w:rtl/>
        </w:rPr>
        <w:t>ترخيص</w:t>
      </w:r>
      <w:r w:rsidRPr="0075113C">
        <w:rPr>
          <w:b/>
          <w:bCs/>
          <w:rtl/>
        </w:rPr>
        <w:t xml:space="preserve"> </w:t>
      </w:r>
      <w:r w:rsidRPr="0075113C">
        <w:rPr>
          <w:rFonts w:ascii="Arial" w:hAnsi="Arial" w:cs="Arial" w:hint="cs"/>
          <w:b/>
          <w:bCs/>
          <w:rtl/>
        </w:rPr>
        <w:t>استخدام</w:t>
      </w:r>
      <w:r w:rsidRPr="0075113C">
        <w:rPr>
          <w:b/>
          <w:bCs/>
          <w:rtl/>
        </w:rPr>
        <w:t xml:space="preserve"> </w:t>
      </w:r>
      <w:r w:rsidRPr="0075113C">
        <w:rPr>
          <w:rFonts w:ascii="Arial" w:hAnsi="Arial" w:cs="Arial" w:hint="cs"/>
          <w:b/>
          <w:bCs/>
          <w:rtl/>
        </w:rPr>
        <w:t>المنصة</w:t>
      </w:r>
      <w:r w:rsidRPr="0075113C">
        <w:rPr>
          <w:b/>
          <w:bCs/>
          <w:rtl/>
        </w:rPr>
        <w:t xml:space="preserve"> </w:t>
      </w:r>
      <w:r w:rsidRPr="0075113C">
        <w:rPr>
          <w:rFonts w:ascii="Arial" w:hAnsi="Arial" w:cs="Arial" w:hint="cs"/>
          <w:b/>
          <w:bCs/>
          <w:rtl/>
        </w:rPr>
        <w:t>الذكية</w:t>
      </w:r>
      <w:r w:rsidRPr="0075113C">
        <w:rPr>
          <w:b/>
          <w:bCs/>
          <w:rtl/>
        </w:rPr>
        <w:t xml:space="preserve"> </w:t>
      </w:r>
      <w:proofErr w:type="gramStart"/>
      <w:r w:rsidRPr="0075113C">
        <w:rPr>
          <w:b/>
          <w:bCs/>
          <w:rtl/>
        </w:rPr>
        <w:t>(</w:t>
      </w:r>
      <w:r w:rsidR="00661C8F">
        <w:rPr>
          <w:b/>
          <w:bCs/>
        </w:rPr>
        <w:t xml:space="preserve"> </w:t>
      </w:r>
      <w:r w:rsidRPr="0075113C">
        <w:rPr>
          <w:b/>
          <w:bCs/>
        </w:rPr>
        <w:t>Englishom</w:t>
      </w:r>
      <w:proofErr w:type="gramEnd"/>
      <w:r w:rsidR="00661C8F">
        <w:rPr>
          <w:b/>
          <w:bCs/>
        </w:rPr>
        <w:t xml:space="preserve"> </w:t>
      </w:r>
      <w:r w:rsidRPr="0075113C">
        <w:rPr>
          <w:b/>
          <w:bCs/>
          <w:rtl/>
        </w:rPr>
        <w:t>)</w:t>
      </w:r>
    </w:p>
    <w:p w14:paraId="076FE897" w14:textId="6AAB8293" w:rsidR="0075113C" w:rsidRPr="0075113C" w:rsidRDefault="0075113C" w:rsidP="0075113C">
      <w:pPr>
        <w:rPr>
          <w:rtl/>
        </w:rPr>
      </w:pPr>
      <w:r w:rsidRPr="0075113C">
        <w:rPr>
          <w:rtl/>
        </w:rPr>
        <w:t xml:space="preserve">تعتبر هذه الاتفاقية عقداً إلكترونياً ملزماً وشروط ترخيص مستقلة بين منصة </w:t>
      </w:r>
      <w:r w:rsidRPr="0075113C">
        <w:rPr>
          <w:b/>
          <w:bCs/>
        </w:rPr>
        <w:t>Englishom</w:t>
      </w:r>
      <w:r w:rsidRPr="0075113C">
        <w:rPr>
          <w:rtl/>
        </w:rPr>
        <w:t xml:space="preserve"> والمستخدم (المشار إليه بـ "العميل")، وتطبق على كافة عمليات الشراء وتفعيل الاشتراكات الرقمية في الحلول والأنظمة التفاعلية التلقائية.</w:t>
      </w:r>
    </w:p>
    <w:p w14:paraId="6B3A9DD4" w14:textId="77777777" w:rsidR="0075113C" w:rsidRPr="0075113C" w:rsidRDefault="0075113C" w:rsidP="0075113C">
      <w:pPr>
        <w:rPr>
          <w:b/>
          <w:bCs/>
          <w:rtl/>
        </w:rPr>
      </w:pPr>
      <w:r w:rsidRPr="0075113C">
        <w:rPr>
          <w:b/>
          <w:bCs/>
          <w:rtl/>
        </w:rPr>
        <w:t>1. القبول والترخيص الرقمي</w:t>
      </w:r>
    </w:p>
    <w:p w14:paraId="42C5B7F7" w14:textId="77777777" w:rsidR="0075113C" w:rsidRPr="0075113C" w:rsidRDefault="0075113C" w:rsidP="0075113C">
      <w:pPr>
        <w:rPr>
          <w:rtl/>
        </w:rPr>
      </w:pPr>
      <w:r w:rsidRPr="0075113C">
        <w:rPr>
          <w:rtl/>
        </w:rPr>
        <w:t>بمجرد إتمام عملية السداد التقني أو تفعيل الحساب، يقر العميل بأنه قد اطلع ووافق على كافة معايير التشغيل، الشروط والأحكام، وسياسة الأتمتة المنشورة على الموقع، وتعتبر هذه الموافقة بمثابة توقيع إلكتروني نهائي ملزم للطرفين.</w:t>
      </w:r>
    </w:p>
    <w:p w14:paraId="362F5293" w14:textId="77777777" w:rsidR="0075113C" w:rsidRPr="0075113C" w:rsidRDefault="0075113C" w:rsidP="0075113C">
      <w:pPr>
        <w:rPr>
          <w:b/>
          <w:bCs/>
          <w:rtl/>
        </w:rPr>
      </w:pPr>
      <w:r w:rsidRPr="0075113C">
        <w:rPr>
          <w:b/>
          <w:bCs/>
          <w:rtl/>
        </w:rPr>
        <w:t>2. صلاحية العمليات ومسارات النظام</w:t>
      </w:r>
    </w:p>
    <w:p w14:paraId="507FB50E" w14:textId="77777777" w:rsidR="0075113C" w:rsidRPr="0075113C" w:rsidRDefault="0075113C" w:rsidP="0075113C">
      <w:pPr>
        <w:numPr>
          <w:ilvl w:val="0"/>
          <w:numId w:val="1"/>
        </w:numPr>
        <w:rPr>
          <w:rtl/>
        </w:rPr>
      </w:pPr>
      <w:r w:rsidRPr="0075113C">
        <w:rPr>
          <w:b/>
          <w:bCs/>
          <w:rtl/>
        </w:rPr>
        <w:t>صلاحية المعالجة:</w:t>
      </w:r>
      <w:r w:rsidRPr="0075113C">
        <w:rPr>
          <w:rtl/>
        </w:rPr>
        <w:t xml:space="preserve"> يمنح النظام الآلي حق الوصول للمسار الرقمي المفعل لفترة زمنية محددة بـ (60 يوماً) للمسار الواحد، ويظهر مؤقت الصلاحية تلقائياً داخل لوحة تحكم حساب المستخدم.</w:t>
      </w:r>
    </w:p>
    <w:p w14:paraId="4E51CA41" w14:textId="77777777" w:rsidR="0075113C" w:rsidRPr="0075113C" w:rsidRDefault="0075113C" w:rsidP="0075113C">
      <w:pPr>
        <w:numPr>
          <w:ilvl w:val="0"/>
          <w:numId w:val="1"/>
        </w:numPr>
        <w:rPr>
          <w:rtl/>
        </w:rPr>
      </w:pPr>
      <w:r w:rsidRPr="0075113C">
        <w:rPr>
          <w:b/>
          <w:bCs/>
          <w:rtl/>
        </w:rPr>
        <w:t>نوع الترخيص:</w:t>
      </w:r>
      <w:r w:rsidRPr="0075113C">
        <w:rPr>
          <w:rtl/>
        </w:rPr>
        <w:t xml:space="preserve"> يحصل العميل على ترخيص "استخدام شخصي ومستقل" لواجهة النظام البرمجية، ولا يحق له نقل الحساب، بيعه، أو تفويضه لآخرين.</w:t>
      </w:r>
    </w:p>
    <w:p w14:paraId="32C8F63B" w14:textId="77777777" w:rsidR="0075113C" w:rsidRPr="0075113C" w:rsidRDefault="0075113C" w:rsidP="0075113C">
      <w:pPr>
        <w:rPr>
          <w:b/>
          <w:bCs/>
          <w:rtl/>
        </w:rPr>
      </w:pPr>
      <w:r w:rsidRPr="0075113C">
        <w:rPr>
          <w:b/>
          <w:bCs/>
          <w:rtl/>
        </w:rPr>
        <w:t>3. الحماية التقنية والملكية الفكرية</w:t>
      </w:r>
    </w:p>
    <w:p w14:paraId="629B0E5F" w14:textId="77777777" w:rsidR="0075113C" w:rsidRPr="0075113C" w:rsidRDefault="0075113C" w:rsidP="0075113C">
      <w:pPr>
        <w:rPr>
          <w:rtl/>
        </w:rPr>
      </w:pPr>
      <w:r w:rsidRPr="0075113C">
        <w:rPr>
          <w:rtl/>
        </w:rPr>
        <w:t>جميع المكونات البرمجية والأنظمة التفاعلية (وتشمل: النصوص الذكية، خوارزميات معالجة الصوت، قواعد البيانات، واختبارات قياس كفاءة الأداء الآلية) هي ملكية حصرية ومصنفة للمنصة. يُمنع منعاً باتاً هندسة النظام عكسياً، تسجيل الواجهات، إعادة النشر، أو مشاركة رمز الدخول مع أطراف خارجية. ويحق للنظام إلغاء ترخيص الاستخدام فوراً ورصد المخالفة تلقائياً دون تعويض.</w:t>
      </w:r>
    </w:p>
    <w:p w14:paraId="718343A7" w14:textId="77777777" w:rsidR="0075113C" w:rsidRPr="0075113C" w:rsidRDefault="0075113C" w:rsidP="0075113C">
      <w:pPr>
        <w:rPr>
          <w:b/>
          <w:bCs/>
          <w:rtl/>
        </w:rPr>
      </w:pPr>
      <w:r w:rsidRPr="0075113C">
        <w:rPr>
          <w:b/>
          <w:bCs/>
          <w:rtl/>
        </w:rPr>
        <w:t>4. أتمتة الدفع والتشغيل</w:t>
      </w:r>
    </w:p>
    <w:p w14:paraId="53C74225" w14:textId="77777777" w:rsidR="0075113C" w:rsidRPr="0075113C" w:rsidRDefault="0075113C" w:rsidP="0075113C">
      <w:pPr>
        <w:rPr>
          <w:rtl/>
        </w:rPr>
      </w:pPr>
      <w:r w:rsidRPr="0075113C">
        <w:rPr>
          <w:rtl/>
        </w:rPr>
        <w:t>يتم تفعيل صلاحية الحساب برمجياً فور تأكيد معالجة عملية السداد عبر النظام الآلي لبوابات الدفع. في حال انقطاع المستخدم عن تشغيل النظام، تظل فترة الصلاحية الزمنية سارية دون توقف ولا يتم تعويض الأيام برمجياً، ويقوم النظام بإرسال إشعارات برمجية تلقائية لتنشيط الحساب ومتابعة الممارسة.</w:t>
      </w:r>
    </w:p>
    <w:p w14:paraId="1E41759D" w14:textId="77777777" w:rsidR="0075113C" w:rsidRPr="0075113C" w:rsidRDefault="0075113C" w:rsidP="0075113C">
      <w:pPr>
        <w:rPr>
          <w:b/>
          <w:bCs/>
          <w:rtl/>
        </w:rPr>
      </w:pPr>
      <w:r w:rsidRPr="0075113C">
        <w:rPr>
          <w:b/>
          <w:bCs/>
          <w:rtl/>
        </w:rPr>
        <w:t>5. أمن البيانات ومراقبة الأداء التلقائي</w:t>
      </w:r>
    </w:p>
    <w:p w14:paraId="5049B84A" w14:textId="77777777" w:rsidR="0075113C" w:rsidRPr="0075113C" w:rsidRDefault="0075113C" w:rsidP="0075113C">
      <w:pPr>
        <w:numPr>
          <w:ilvl w:val="0"/>
          <w:numId w:val="2"/>
        </w:numPr>
        <w:rPr>
          <w:rtl/>
        </w:rPr>
      </w:pPr>
      <w:r w:rsidRPr="0075113C">
        <w:rPr>
          <w:b/>
          <w:bCs/>
          <w:rtl/>
        </w:rPr>
        <w:t>معالجة البيانات:</w:t>
      </w:r>
      <w:r w:rsidRPr="0075113C">
        <w:rPr>
          <w:rtl/>
        </w:rPr>
        <w:t xml:space="preserve"> يقتصر رصد النظام على البيانات الأساسية وسلوك المستخدم البرمجي لأغراض تحسين كفاءة الاستجابة الآلية.</w:t>
      </w:r>
    </w:p>
    <w:p w14:paraId="372FC7D3" w14:textId="77777777" w:rsidR="0075113C" w:rsidRPr="0075113C" w:rsidRDefault="0075113C" w:rsidP="0075113C">
      <w:pPr>
        <w:numPr>
          <w:ilvl w:val="0"/>
          <w:numId w:val="2"/>
        </w:numPr>
        <w:rPr>
          <w:rtl/>
        </w:rPr>
      </w:pPr>
      <w:r w:rsidRPr="0075113C">
        <w:rPr>
          <w:b/>
          <w:bCs/>
          <w:rtl/>
        </w:rPr>
        <w:t>رصد الأداء:</w:t>
      </w:r>
      <w:r w:rsidRPr="0075113C">
        <w:rPr>
          <w:rtl/>
        </w:rPr>
        <w:t xml:space="preserve"> تعمل الخوارزميات على تحليل استجابة المستخدم لبناء تقارير إحصائية ومؤشرات كفاءة الأداء اللغوي تلقائياً وضمن بيئة مستقلة.</w:t>
      </w:r>
    </w:p>
    <w:p w14:paraId="3F11B46E" w14:textId="77777777" w:rsidR="0075113C" w:rsidRPr="0075113C" w:rsidRDefault="0075113C" w:rsidP="0075113C">
      <w:pPr>
        <w:numPr>
          <w:ilvl w:val="0"/>
          <w:numId w:val="2"/>
        </w:numPr>
        <w:rPr>
          <w:rtl/>
        </w:rPr>
      </w:pPr>
      <w:r w:rsidRPr="0075113C">
        <w:rPr>
          <w:b/>
          <w:bCs/>
          <w:rtl/>
        </w:rPr>
        <w:t>حماية الحساب:</w:t>
      </w:r>
      <w:r w:rsidRPr="0075113C">
        <w:rPr>
          <w:rtl/>
        </w:rPr>
        <w:t xml:space="preserve"> تقع مسؤولية الحفاظ على سرية رمز الدخول على عاتق المستخدم بالكامل، والنظام مؤتمت لغلق أي حساب يتم رصد دخوله من عناوين بروتوكول (</w:t>
      </w:r>
      <w:r w:rsidRPr="0075113C">
        <w:t>IP</w:t>
      </w:r>
      <w:r w:rsidRPr="0075113C">
        <w:rPr>
          <w:rtl/>
        </w:rPr>
        <w:t>) متعددة ومتزامنة.</w:t>
      </w:r>
    </w:p>
    <w:p w14:paraId="2543C471" w14:textId="77777777" w:rsidR="0075113C" w:rsidRPr="0075113C" w:rsidRDefault="0075113C" w:rsidP="0075113C">
      <w:pPr>
        <w:rPr>
          <w:b/>
          <w:bCs/>
          <w:rtl/>
        </w:rPr>
      </w:pPr>
      <w:r w:rsidRPr="0075113C">
        <w:rPr>
          <w:b/>
          <w:bCs/>
          <w:rtl/>
        </w:rPr>
        <w:t>6. تقارير الكفاءة ومخرجات المسار</w:t>
      </w:r>
    </w:p>
    <w:p w14:paraId="33D3ECC8" w14:textId="77777777" w:rsidR="0075113C" w:rsidRPr="0075113C" w:rsidRDefault="0075113C" w:rsidP="0075113C">
      <w:pPr>
        <w:rPr>
          <w:rtl/>
        </w:rPr>
      </w:pPr>
      <w:r w:rsidRPr="0075113C">
        <w:rPr>
          <w:rtl/>
        </w:rPr>
        <w:lastRenderedPageBreak/>
        <w:t>تمنح المنصة وثائق تقنية تفيد باستكمال المسار الرقمي بنجاح عند إتمام العمليات وحل كافة المهام التقنية وفقاً للمعايير المبرمجة داخل النظام. وتعتمد مخرجات الكفاءة اللغوية على التفاعل الذاتي واليومي للمستخدم مع أدوات المحاكاة ومطابقة التعليمات البرمجية الشاملة للمنصة.</w:t>
      </w:r>
    </w:p>
    <w:p w14:paraId="642F844E" w14:textId="77777777" w:rsidR="0075113C" w:rsidRPr="0075113C" w:rsidRDefault="0075113C" w:rsidP="0075113C">
      <w:pPr>
        <w:rPr>
          <w:b/>
          <w:bCs/>
          <w:rtl/>
        </w:rPr>
      </w:pPr>
      <w:r w:rsidRPr="0075113C">
        <w:rPr>
          <w:b/>
          <w:bCs/>
          <w:rtl/>
        </w:rPr>
        <w:t>7. النظام والقانون الواجب التطبيق</w:t>
      </w:r>
    </w:p>
    <w:p w14:paraId="0DF38166" w14:textId="77777777" w:rsidR="0075113C" w:rsidRDefault="0075113C" w:rsidP="0075113C">
      <w:pPr>
        <w:rPr>
          <w:rtl/>
        </w:rPr>
      </w:pPr>
      <w:r w:rsidRPr="0075113C">
        <w:rPr>
          <w:rtl/>
        </w:rPr>
        <w:t>تخضع هذه الاتفاقية وتفسر وفقاً للأنظمة والقوانين المعمول بها في المقر الرسمي للمنصة وضمن عقود الخدمات التقنية والبرمجية، ويتم تسوية أي نزاع ناشئ عنها بالطرق الودية أو إحالته إلى الجهات القضائية المختصة.</w:t>
      </w:r>
    </w:p>
    <w:p w14:paraId="7AC4BBA9" w14:textId="77777777" w:rsidR="00D652E4" w:rsidRDefault="00D652E4" w:rsidP="0075113C">
      <w:pPr>
        <w:rPr>
          <w:rtl/>
        </w:rPr>
      </w:pPr>
    </w:p>
    <w:p w14:paraId="4FA87C2C" w14:textId="73A19EAC" w:rsidR="00D652E4" w:rsidRDefault="00D652E4" w:rsidP="0075113C">
      <w:pPr>
        <w:rPr>
          <w:rtl/>
        </w:rPr>
      </w:pPr>
      <w:r w:rsidRPr="00D652E4">
        <w:rPr>
          <w:rFonts w:cs="Arial"/>
          <w:noProof/>
          <w:rtl/>
        </w:rPr>
        <w:drawing>
          <wp:inline distT="0" distB="0" distL="0" distR="0" wp14:anchorId="1A5115E9" wp14:editId="64E47389">
            <wp:extent cx="2078873" cy="966493"/>
            <wp:effectExtent l="0" t="0" r="0" b="5080"/>
            <wp:docPr id="199163624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636242" name=""/>
                    <pic:cNvPicPr/>
                  </pic:nvPicPr>
                  <pic:blipFill>
                    <a:blip r:embed="rId5"/>
                    <a:stretch>
                      <a:fillRect/>
                    </a:stretch>
                  </pic:blipFill>
                  <pic:spPr>
                    <a:xfrm>
                      <a:off x="0" y="0"/>
                      <a:ext cx="2087981" cy="970728"/>
                    </a:xfrm>
                    <a:prstGeom prst="rect">
                      <a:avLst/>
                    </a:prstGeom>
                  </pic:spPr>
                </pic:pic>
              </a:graphicData>
            </a:graphic>
          </wp:inline>
        </w:drawing>
      </w:r>
    </w:p>
    <w:p w14:paraId="19FAE2CF" w14:textId="1D3BC9BF" w:rsidR="00D652E4" w:rsidRPr="0075113C" w:rsidRDefault="00D652E4" w:rsidP="0075113C">
      <w:pPr>
        <w:rPr>
          <w:rtl/>
        </w:rPr>
      </w:pPr>
      <w:r>
        <w:rPr>
          <w:rFonts w:hint="cs"/>
          <w:rtl/>
        </w:rPr>
        <w:t xml:space="preserve">حاول ان الكتابة تكون من </w:t>
      </w:r>
      <w:proofErr w:type="gramStart"/>
      <w:r>
        <w:rPr>
          <w:rFonts w:hint="cs"/>
          <w:rtl/>
        </w:rPr>
        <w:t>اليمين ،</w:t>
      </w:r>
      <w:proofErr w:type="gramEnd"/>
      <w:r>
        <w:rPr>
          <w:rFonts w:hint="cs"/>
          <w:rtl/>
        </w:rPr>
        <w:t xml:space="preserve"> فقط تعديل </w:t>
      </w:r>
      <w:proofErr w:type="gramStart"/>
      <w:r>
        <w:rPr>
          <w:rFonts w:hint="cs"/>
          <w:rtl/>
        </w:rPr>
        <w:t>هذي ،</w:t>
      </w:r>
      <w:proofErr w:type="gramEnd"/>
      <w:r>
        <w:rPr>
          <w:rFonts w:hint="cs"/>
          <w:rtl/>
        </w:rPr>
        <w:t xml:space="preserve"> </w:t>
      </w:r>
    </w:p>
    <w:sectPr w:rsidR="00D652E4" w:rsidRPr="0075113C" w:rsidSect="00DB1108">
      <w:pgSz w:w="12240" w:h="15840"/>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640B5"/>
    <w:multiLevelType w:val="multilevel"/>
    <w:tmpl w:val="31F6F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525746"/>
    <w:multiLevelType w:val="multilevel"/>
    <w:tmpl w:val="A6DCD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E15F45"/>
    <w:multiLevelType w:val="multilevel"/>
    <w:tmpl w:val="4284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1152101">
    <w:abstractNumId w:val="2"/>
  </w:num>
  <w:num w:numId="2" w16cid:durableId="1043602803">
    <w:abstractNumId w:val="1"/>
  </w:num>
  <w:num w:numId="3" w16cid:durableId="849442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13C"/>
    <w:rsid w:val="000F7A23"/>
    <w:rsid w:val="00337771"/>
    <w:rsid w:val="00661C8F"/>
    <w:rsid w:val="0075113C"/>
    <w:rsid w:val="009177E1"/>
    <w:rsid w:val="00D652E4"/>
    <w:rsid w:val="00DB1108"/>
    <w:rsid w:val="00F537F5"/>
    <w:rsid w:val="00F658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9B8F1"/>
  <w15:chartTrackingRefBased/>
  <w15:docId w15:val="{5CF4AF73-A2A3-4BB0-953F-42802A0F0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7511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7511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75113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75113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75113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75113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75113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75113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75113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75113C"/>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75113C"/>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75113C"/>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75113C"/>
    <w:rPr>
      <w:rFonts w:eastAsiaTheme="majorEastAsia" w:cstheme="majorBidi"/>
      <w:i/>
      <w:iCs/>
      <w:color w:val="2F5496" w:themeColor="accent1" w:themeShade="BF"/>
    </w:rPr>
  </w:style>
  <w:style w:type="character" w:customStyle="1" w:styleId="5Char">
    <w:name w:val="عنوان 5 Char"/>
    <w:basedOn w:val="a0"/>
    <w:link w:val="5"/>
    <w:uiPriority w:val="9"/>
    <w:semiHidden/>
    <w:rsid w:val="0075113C"/>
    <w:rPr>
      <w:rFonts w:eastAsiaTheme="majorEastAsia" w:cstheme="majorBidi"/>
      <w:color w:val="2F5496" w:themeColor="accent1" w:themeShade="BF"/>
    </w:rPr>
  </w:style>
  <w:style w:type="character" w:customStyle="1" w:styleId="6Char">
    <w:name w:val="عنوان 6 Char"/>
    <w:basedOn w:val="a0"/>
    <w:link w:val="6"/>
    <w:uiPriority w:val="9"/>
    <w:semiHidden/>
    <w:rsid w:val="0075113C"/>
    <w:rPr>
      <w:rFonts w:eastAsiaTheme="majorEastAsia" w:cstheme="majorBidi"/>
      <w:i/>
      <w:iCs/>
      <w:color w:val="595959" w:themeColor="text1" w:themeTint="A6"/>
    </w:rPr>
  </w:style>
  <w:style w:type="character" w:customStyle="1" w:styleId="7Char">
    <w:name w:val="عنوان 7 Char"/>
    <w:basedOn w:val="a0"/>
    <w:link w:val="7"/>
    <w:uiPriority w:val="9"/>
    <w:semiHidden/>
    <w:rsid w:val="0075113C"/>
    <w:rPr>
      <w:rFonts w:eastAsiaTheme="majorEastAsia" w:cstheme="majorBidi"/>
      <w:color w:val="595959" w:themeColor="text1" w:themeTint="A6"/>
    </w:rPr>
  </w:style>
  <w:style w:type="character" w:customStyle="1" w:styleId="8Char">
    <w:name w:val="عنوان 8 Char"/>
    <w:basedOn w:val="a0"/>
    <w:link w:val="8"/>
    <w:uiPriority w:val="9"/>
    <w:semiHidden/>
    <w:rsid w:val="0075113C"/>
    <w:rPr>
      <w:rFonts w:eastAsiaTheme="majorEastAsia" w:cstheme="majorBidi"/>
      <w:i/>
      <w:iCs/>
      <w:color w:val="272727" w:themeColor="text1" w:themeTint="D8"/>
    </w:rPr>
  </w:style>
  <w:style w:type="character" w:customStyle="1" w:styleId="9Char">
    <w:name w:val="عنوان 9 Char"/>
    <w:basedOn w:val="a0"/>
    <w:link w:val="9"/>
    <w:uiPriority w:val="9"/>
    <w:semiHidden/>
    <w:rsid w:val="0075113C"/>
    <w:rPr>
      <w:rFonts w:eastAsiaTheme="majorEastAsia" w:cstheme="majorBidi"/>
      <w:color w:val="272727" w:themeColor="text1" w:themeTint="D8"/>
    </w:rPr>
  </w:style>
  <w:style w:type="paragraph" w:styleId="a3">
    <w:name w:val="Title"/>
    <w:basedOn w:val="a"/>
    <w:next w:val="a"/>
    <w:link w:val="Char"/>
    <w:uiPriority w:val="10"/>
    <w:qFormat/>
    <w:rsid w:val="007511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75113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5113C"/>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75113C"/>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75113C"/>
    <w:pPr>
      <w:spacing w:before="160"/>
      <w:jc w:val="center"/>
    </w:pPr>
    <w:rPr>
      <w:i/>
      <w:iCs/>
      <w:color w:val="404040" w:themeColor="text1" w:themeTint="BF"/>
    </w:rPr>
  </w:style>
  <w:style w:type="character" w:customStyle="1" w:styleId="Char1">
    <w:name w:val="اقتباس Char"/>
    <w:basedOn w:val="a0"/>
    <w:link w:val="a5"/>
    <w:uiPriority w:val="29"/>
    <w:rsid w:val="0075113C"/>
    <w:rPr>
      <w:i/>
      <w:iCs/>
      <w:color w:val="404040" w:themeColor="text1" w:themeTint="BF"/>
    </w:rPr>
  </w:style>
  <w:style w:type="paragraph" w:styleId="a6">
    <w:name w:val="List Paragraph"/>
    <w:basedOn w:val="a"/>
    <w:uiPriority w:val="34"/>
    <w:qFormat/>
    <w:rsid w:val="0075113C"/>
    <w:pPr>
      <w:ind w:left="720"/>
      <w:contextualSpacing/>
    </w:pPr>
  </w:style>
  <w:style w:type="character" w:styleId="a7">
    <w:name w:val="Intense Emphasis"/>
    <w:basedOn w:val="a0"/>
    <w:uiPriority w:val="21"/>
    <w:qFormat/>
    <w:rsid w:val="0075113C"/>
    <w:rPr>
      <w:i/>
      <w:iCs/>
      <w:color w:val="2F5496" w:themeColor="accent1" w:themeShade="BF"/>
    </w:rPr>
  </w:style>
  <w:style w:type="paragraph" w:styleId="a8">
    <w:name w:val="Intense Quote"/>
    <w:basedOn w:val="a"/>
    <w:next w:val="a"/>
    <w:link w:val="Char2"/>
    <w:uiPriority w:val="30"/>
    <w:qFormat/>
    <w:rsid w:val="007511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75113C"/>
    <w:rPr>
      <w:i/>
      <w:iCs/>
      <w:color w:val="2F5496" w:themeColor="accent1" w:themeShade="BF"/>
    </w:rPr>
  </w:style>
  <w:style w:type="character" w:styleId="a9">
    <w:name w:val="Intense Reference"/>
    <w:basedOn w:val="a0"/>
    <w:uiPriority w:val="32"/>
    <w:qFormat/>
    <w:rsid w:val="0075113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388</Words>
  <Characters>2217</Characters>
  <Application>Microsoft Office Word</Application>
  <DocSecurity>0</DocSecurity>
  <Lines>18</Lines>
  <Paragraphs>5</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Badr AL</dc:creator>
  <cp:keywords/>
  <dc:description/>
  <cp:lastModifiedBy>Badr AL</cp:lastModifiedBy>
  <cp:revision>3</cp:revision>
  <dcterms:created xsi:type="dcterms:W3CDTF">2026-05-25T23:08:00Z</dcterms:created>
  <dcterms:modified xsi:type="dcterms:W3CDTF">2026-06-01T02:15:00Z</dcterms:modified>
</cp:coreProperties>
</file>