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 xml:space="preserve">ONE-PAGE BUSINESS PLAN TEMPLATE</w:t>
      </w: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ab/>
      </w:r>
    </w:p>
    <w:tbl>
      <w:tblPr/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</w:tblGrid>
      <w:tr>
        <w:trPr>
          <w:trHeight w:val="300" w:hRule="auto"/>
          <w:jc w:val="left"/>
        </w:trPr>
        <w:tc>
          <w:tcPr>
            <w:tcW w:w="5349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2  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WHAT + HOW + WHO</w:t>
            </w:r>
          </w:p>
        </w:tc>
        <w:tc>
          <w:tcPr>
            <w:tcW w:w="188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WHAT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سياحة محلية تقليدية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HOW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 it?     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التواصل مع الاشخاص من المجتمع المحلي لمعرفه الخدمات التي يمكن ان يقدموها مقابل عائد مادي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التواصل مع المكاتب السياحيه لترتيب جولاتهم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WHO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serve?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السياح الاجانب والمجتمع المحلي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WHY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CUSTOMER PROBLEM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الاستغلال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اللغة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عدم الالمام بطبيعه المنطقه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SOLUTION PROVIDED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اسعار محدده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تعريف بالمنطقه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توفير مترجمين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REVENUE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PRICING + BILLING STRATEGIES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الدفع اون لاين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التواصل مع مقدم الخدمه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INCOME STREAMS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نسبه من ارباح بيع الخدمات والسلع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الاعلانات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638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MARKETING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CUSTOMER REACH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التسويق المتقارب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شراكة بين شركة وأخرى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مؤسسة أخرى تجمع بين الأشخاص الذين يتشاركون المصالح نفسها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تسويق عبر الإنترنت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التسويق عبر البريد الإلكتروني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</w:p>
        </w:tc>
      </w:tr>
      <w:tr>
        <w:trPr>
          <w:trHeight w:val="614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REFERRAL GENERATION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التصوير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COMPETITION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TOP COMPETITORS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المكاتب السياحيه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المواقع الالكترونيه الخاصه بالسياحه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OUR COMPETITIVE ADVANTAGE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نظام النقاط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خصومات ع الرحلات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عروض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METRICS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الوصول ل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اشخاص خلال الشهر الاول يقومون باعتماد موقعنا للرحلات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القدرة على تغطية التكاليف الاصلية خلال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شهور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SITUATIONAL ANALYSIS (SWOT)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4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INTERNAL FACTORS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STRENGTHS ( + )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WEAKNESSES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معرفه بمواقع التواصل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التسويق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جميع اعضاء الفريق مطورين ويب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نحتاج ل محرر فيديو ومصور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نمتلك مصمم جرافيك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4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FACTORS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OPPORTUNITIES ( + )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THREATS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بيوت جاهزة بالنمط العقاوي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عدم قول المجتمع المحلي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تسهيلات وترخصيات من سلطة العقبة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ظهور منافسين جدد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