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D11A" w14:textId="5DE1A623" w:rsidR="00574644" w:rsidRDefault="009021FB" w:rsidP="009021FB">
      <w:pPr>
        <w:jc w:val="center"/>
        <w:rPr>
          <w:sz w:val="36"/>
          <w:szCs w:val="36"/>
        </w:rPr>
      </w:pPr>
      <w:r>
        <w:rPr>
          <w:sz w:val="36"/>
          <w:szCs w:val="36"/>
        </w:rPr>
        <w:t>Well Response Comparison</w:t>
      </w:r>
    </w:p>
    <w:p w14:paraId="4A70CB10" w14:textId="77777777" w:rsidR="009021FB" w:rsidRDefault="009021FB" w:rsidP="009021FB">
      <w:pPr>
        <w:jc w:val="center"/>
        <w:rPr>
          <w:sz w:val="36"/>
          <w:szCs w:val="36"/>
        </w:rPr>
      </w:pPr>
    </w:p>
    <w:p w14:paraId="69E3D3EA" w14:textId="6F07ABD0" w:rsidR="009021FB" w:rsidRDefault="009021FB" w:rsidP="009021FB">
      <w:pPr>
        <w:rPr>
          <w:sz w:val="28"/>
          <w:szCs w:val="28"/>
        </w:rPr>
      </w:pPr>
      <w:r>
        <w:rPr>
          <w:sz w:val="28"/>
          <w:szCs w:val="28"/>
        </w:rPr>
        <w:t>As a second example to using Incompressible Immiscible two-phase flow Simulation I ran a simulation to compare the response of different wells to waterflooding.</w:t>
      </w:r>
    </w:p>
    <w:p w14:paraId="4515AB0C" w14:textId="0A18D96D" w:rsidR="00636706" w:rsidRDefault="00636706" w:rsidP="009021FB">
      <w:pPr>
        <w:rPr>
          <w:sz w:val="28"/>
          <w:szCs w:val="28"/>
        </w:rPr>
      </w:pPr>
    </w:p>
    <w:p w14:paraId="71CB2ABE" w14:textId="35F5F320" w:rsidR="009021FB" w:rsidRDefault="009021FB" w:rsidP="009021FB">
      <w:pPr>
        <w:rPr>
          <w:sz w:val="28"/>
          <w:szCs w:val="28"/>
        </w:rPr>
      </w:pPr>
      <w:r>
        <w:rPr>
          <w:sz w:val="28"/>
          <w:szCs w:val="28"/>
        </w:rPr>
        <w:t xml:space="preserve">The mathematical model of </w:t>
      </w:r>
      <w:r>
        <w:rPr>
          <w:sz w:val="28"/>
          <w:szCs w:val="28"/>
        </w:rPr>
        <w:t>Incompressible Immiscible two-phase flow</w:t>
      </w:r>
      <w:r>
        <w:rPr>
          <w:sz w:val="28"/>
          <w:szCs w:val="28"/>
        </w:rPr>
        <w:t xml:space="preserve"> can be written as two main equations and a set of constitutive relations.</w:t>
      </w:r>
    </w:p>
    <w:p w14:paraId="36427717" w14:textId="77777777" w:rsidR="00571E01" w:rsidRDefault="00571E01" w:rsidP="00571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elliptic pressure equation</w:t>
      </w:r>
    </w:p>
    <w:p w14:paraId="2EDF871F" w14:textId="77777777" w:rsidR="00571E01" w:rsidRPr="00327B40" w:rsidRDefault="00571E01" w:rsidP="00571E0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-∇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=q- ∇[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g∇z]</m:t>
          </m:r>
        </m:oMath>
      </m:oMathPara>
    </w:p>
    <w:p w14:paraId="504F7AF7" w14:textId="77777777" w:rsidR="00571E01" w:rsidRPr="004976D9" w:rsidRDefault="00571E01" w:rsidP="00571E0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Another parabolic, with hyperbolic character, saturation equation</w:t>
      </w:r>
    </w:p>
    <w:p w14:paraId="142D333E" w14:textId="77777777" w:rsidR="00571E01" w:rsidRPr="00A742A6" w:rsidRDefault="00571E01" w:rsidP="00571E0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ϕ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ρ∇z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-∇(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5139F60" w14:textId="77777777" w:rsidR="00571E01" w:rsidRDefault="00571E01" w:rsidP="00571E0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Darcy equation</w:t>
      </w:r>
    </w:p>
    <w:p w14:paraId="7CD5F525" w14:textId="77777777" w:rsidR="00571E01" w:rsidRPr="00571E01" w:rsidRDefault="00571E01" w:rsidP="00571E01">
      <w:pPr>
        <w:rPr>
          <w:rFonts w:eastAsiaTheme="minorEastAsia"/>
          <w:b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g∇z</m:t>
          </m:r>
        </m:oMath>
      </m:oMathPara>
    </w:p>
    <w:p w14:paraId="6E8F4786" w14:textId="7FF90DDD" w:rsidR="00571E01" w:rsidRDefault="00571E01" w:rsidP="00571E01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we can see that the pressure equation is an elliptic PDE, we can interpret it as the following:</w:t>
      </w:r>
    </w:p>
    <w:p w14:paraId="5E36B6A4" w14:textId="2E659CBD" w:rsidR="00571E01" w:rsidRDefault="00571E01" w:rsidP="00571E01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The gradient of the pressure gives us a vector field that points in the direction of maximum increase in pressure at a given point. The divergence of that field gives us how that field is spread at a given point.</w:t>
      </w:r>
    </w:p>
    <w:p w14:paraId="38F27230" w14:textId="0A075D9D" w:rsidR="00571E01" w:rsidRDefault="00571E01" w:rsidP="00571E01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So, the divergence of the gradient of the pressure field is related to the flow rate q, a source or sink term that accounts for a well, and the effect of gravity. Which is </w:t>
      </w:r>
      <w:proofErr w:type="gramStart"/>
      <w:r>
        <w:rPr>
          <w:rFonts w:eastAsiaTheme="minorEastAsia"/>
          <w:bCs/>
          <w:sz w:val="28"/>
          <w:szCs w:val="28"/>
        </w:rPr>
        <w:t>intuitive</w:t>
      </w:r>
      <w:r w:rsidR="00636706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 xml:space="preserve"> the</w:t>
      </w:r>
      <w:proofErr w:type="gramEnd"/>
      <w:r>
        <w:rPr>
          <w:rFonts w:eastAsiaTheme="minorEastAsia"/>
          <w:bCs/>
          <w:sz w:val="28"/>
          <w:szCs w:val="28"/>
        </w:rPr>
        <w:t xml:space="preserve"> pressure field in the reservoir will only change if a well is set to flow or due to gravity.</w:t>
      </w:r>
    </w:p>
    <w:p w14:paraId="67912636" w14:textId="0803DE44" w:rsidR="00571E01" w:rsidRDefault="00571E01" w:rsidP="00571E01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The saturation equation is a </w:t>
      </w:r>
      <w:r w:rsidR="00CA4BD3">
        <w:rPr>
          <w:rFonts w:eastAsiaTheme="minorEastAsia"/>
          <w:bCs/>
          <w:sz w:val="28"/>
          <w:szCs w:val="28"/>
        </w:rPr>
        <w:t xml:space="preserve">parabolic </w:t>
      </w:r>
      <w:r w:rsidR="00CA4BD3">
        <w:rPr>
          <w:rFonts w:eastAsiaTheme="minorEastAsia"/>
          <w:bCs/>
          <w:sz w:val="28"/>
          <w:szCs w:val="28"/>
        </w:rPr>
        <w:t>PDE</w:t>
      </w:r>
      <w:r w:rsidR="00CA4BD3">
        <w:rPr>
          <w:rFonts w:eastAsiaTheme="minorEastAsia"/>
          <w:bCs/>
          <w:sz w:val="28"/>
          <w:szCs w:val="28"/>
        </w:rPr>
        <w:t xml:space="preserve">, with </w:t>
      </w:r>
      <w:r>
        <w:rPr>
          <w:rFonts w:eastAsiaTheme="minorEastAsia"/>
          <w:bCs/>
          <w:sz w:val="28"/>
          <w:szCs w:val="28"/>
        </w:rPr>
        <w:t>hyperbolic</w:t>
      </w:r>
      <w:r w:rsidR="00CA4BD3">
        <w:rPr>
          <w:rFonts w:eastAsiaTheme="minorEastAsia"/>
          <w:bCs/>
          <w:sz w:val="28"/>
          <w:szCs w:val="28"/>
        </w:rPr>
        <w:t xml:space="preserve"> character</w:t>
      </w:r>
      <w:r>
        <w:rPr>
          <w:rFonts w:eastAsiaTheme="minorEastAsia"/>
          <w:bCs/>
          <w:sz w:val="28"/>
          <w:szCs w:val="28"/>
        </w:rPr>
        <w:t xml:space="preserve">, which describes waves travelling with finite speed. Which is </w:t>
      </w:r>
      <w:r w:rsidR="00CA4BD3">
        <w:rPr>
          <w:rFonts w:eastAsiaTheme="minorEastAsia"/>
          <w:bCs/>
          <w:sz w:val="28"/>
          <w:szCs w:val="28"/>
        </w:rPr>
        <w:t xml:space="preserve">again </w:t>
      </w:r>
      <w:r>
        <w:rPr>
          <w:rFonts w:eastAsiaTheme="minorEastAsia"/>
          <w:bCs/>
          <w:sz w:val="28"/>
          <w:szCs w:val="28"/>
        </w:rPr>
        <w:t xml:space="preserve">reasonable because water will flow in the reservoir </w:t>
      </w:r>
      <w:r w:rsidR="00A71596">
        <w:rPr>
          <w:rFonts w:eastAsiaTheme="minorEastAsia"/>
          <w:bCs/>
          <w:sz w:val="28"/>
          <w:szCs w:val="28"/>
        </w:rPr>
        <w:t>at</w:t>
      </w:r>
      <w:r>
        <w:rPr>
          <w:rFonts w:eastAsiaTheme="minorEastAsia"/>
          <w:bCs/>
          <w:sz w:val="28"/>
          <w:szCs w:val="28"/>
        </w:rPr>
        <w:t xml:space="preserve"> a finite speed. </w:t>
      </w:r>
      <w:r w:rsidR="00CA4BD3">
        <w:rPr>
          <w:rFonts w:eastAsiaTheme="minorEastAsia"/>
          <w:bCs/>
          <w:sz w:val="28"/>
          <w:szCs w:val="28"/>
        </w:rPr>
        <w:t>The equation accounts for the balance of three different forces:</w:t>
      </w:r>
    </w:p>
    <w:p w14:paraId="0DCF262B" w14:textId="6D7F2774" w:rsidR="00CA4BD3" w:rsidRPr="00571E01" w:rsidRDefault="00CA4BD3" w:rsidP="00571E01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Viscous </w:t>
      </w:r>
      <w:r w:rsidR="00A71596">
        <w:rPr>
          <w:rFonts w:eastAsiaTheme="minorEastAsia"/>
          <w:bCs/>
          <w:sz w:val="28"/>
          <w:szCs w:val="28"/>
        </w:rPr>
        <w:t>advection, the</w:t>
      </w:r>
      <w:r>
        <w:rPr>
          <w:rFonts w:eastAsiaTheme="minorEastAsia"/>
          <w:bCs/>
          <w:sz w:val="28"/>
          <w:szCs w:val="28"/>
        </w:rPr>
        <w:t xml:space="preserve"> velocity term, gravity segregation and capillary pressure.</w:t>
      </w:r>
    </w:p>
    <w:p w14:paraId="20BAA394" w14:textId="3DD9B4DE" w:rsidR="00571E01" w:rsidRDefault="00571E01" w:rsidP="00571E01">
      <w:pPr>
        <w:rPr>
          <w:sz w:val="28"/>
          <w:szCs w:val="28"/>
        </w:rPr>
      </w:pPr>
      <w:r>
        <w:rPr>
          <w:sz w:val="28"/>
          <w:szCs w:val="28"/>
        </w:rPr>
        <w:t>The pressure and saturation equations are coupled. The mobility term appearing in the pressure equation depends on saturation and the velocity term in the saturation equation depends on pressure.</w:t>
      </w:r>
    </w:p>
    <w:p w14:paraId="5EF394E0" w14:textId="421990CA" w:rsidR="00571E01" w:rsidRDefault="00571E01" w:rsidP="009021FB">
      <w:pPr>
        <w:rPr>
          <w:sz w:val="28"/>
          <w:szCs w:val="28"/>
        </w:rPr>
      </w:pPr>
      <w:r>
        <w:rPr>
          <w:sz w:val="28"/>
          <w:szCs w:val="28"/>
        </w:rPr>
        <w:t xml:space="preserve">The fractional flow formulation is useful because it </w:t>
      </w:r>
      <w:r w:rsidR="00CA4BD3">
        <w:rPr>
          <w:sz w:val="28"/>
          <w:szCs w:val="28"/>
        </w:rPr>
        <w:t>minimizes</w:t>
      </w:r>
      <w:r>
        <w:rPr>
          <w:sz w:val="28"/>
          <w:szCs w:val="28"/>
        </w:rPr>
        <w:t xml:space="preserve"> </w:t>
      </w:r>
      <w:r w:rsidR="00CA4BD3">
        <w:rPr>
          <w:sz w:val="28"/>
          <w:szCs w:val="28"/>
        </w:rPr>
        <w:t xml:space="preserve">that </w:t>
      </w:r>
      <w:r>
        <w:rPr>
          <w:sz w:val="28"/>
          <w:szCs w:val="28"/>
        </w:rPr>
        <w:t>coupling and under some assumptions and simplifications that coupling break</w:t>
      </w:r>
      <w:r w:rsidR="00A71596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77AC0D0" w14:textId="6C9CBC72" w:rsidR="00571E01" w:rsidRDefault="009327FC" w:rsidP="00902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equations can be solved numerically with Finite Volume Methods and sequentially such that the pressure is </w:t>
      </w:r>
      <w:r w:rsidR="00A204C5">
        <w:rPr>
          <w:sz w:val="28"/>
          <w:szCs w:val="28"/>
        </w:rPr>
        <w:t>updated</w:t>
      </w:r>
      <w:r>
        <w:rPr>
          <w:sz w:val="28"/>
          <w:szCs w:val="28"/>
        </w:rPr>
        <w:t xml:space="preserve"> first for </w:t>
      </w:r>
      <w:r w:rsidR="00A204C5">
        <w:rPr>
          <w:sz w:val="28"/>
          <w:szCs w:val="28"/>
        </w:rPr>
        <w:t>the</w:t>
      </w:r>
      <w:r>
        <w:rPr>
          <w:sz w:val="28"/>
          <w:szCs w:val="28"/>
        </w:rPr>
        <w:t xml:space="preserve"> curr</w:t>
      </w:r>
      <w:r w:rsidR="00A204C5">
        <w:rPr>
          <w:sz w:val="28"/>
          <w:szCs w:val="28"/>
        </w:rPr>
        <w:t xml:space="preserve">ent saturation and then the saturation is updated for the updated pressure. Of course, that introduced splitting </w:t>
      </w:r>
      <w:proofErr w:type="gramStart"/>
      <w:r w:rsidR="00A204C5">
        <w:rPr>
          <w:sz w:val="28"/>
          <w:szCs w:val="28"/>
        </w:rPr>
        <w:t>error</w:t>
      </w:r>
      <w:proofErr w:type="gramEnd"/>
      <w:r w:rsidR="00A204C5">
        <w:rPr>
          <w:sz w:val="28"/>
          <w:szCs w:val="28"/>
        </w:rPr>
        <w:t xml:space="preserve"> but we can use this method because of the weak coupling.</w:t>
      </w:r>
    </w:p>
    <w:p w14:paraId="11790C09" w14:textId="77777777" w:rsidR="00CA4BD3" w:rsidRDefault="00CA4BD3" w:rsidP="009021FB">
      <w:pPr>
        <w:rPr>
          <w:sz w:val="28"/>
          <w:szCs w:val="28"/>
        </w:rPr>
      </w:pPr>
    </w:p>
    <w:p w14:paraId="4B2945E8" w14:textId="75018657" w:rsidR="00CA4BD3" w:rsidRDefault="00CA4BD3" w:rsidP="00CA4BD3">
      <w:pPr>
        <w:rPr>
          <w:sz w:val="28"/>
          <w:szCs w:val="28"/>
        </w:rPr>
      </w:pPr>
      <w:r>
        <w:rPr>
          <w:sz w:val="28"/>
          <w:szCs w:val="28"/>
        </w:rPr>
        <w:t>I ran a simulation using MRST, MATLAB Reservoir Simulation Toolbox, on a reservoir with a</w:t>
      </w:r>
      <w:r w:rsidR="00636706">
        <w:rPr>
          <w:sz w:val="28"/>
          <w:szCs w:val="28"/>
        </w:rPr>
        <w:t xml:space="preserve"> permeable</w:t>
      </w:r>
      <w:r>
        <w:rPr>
          <w:sz w:val="28"/>
          <w:szCs w:val="28"/>
        </w:rPr>
        <w:t xml:space="preserve"> fault splitting it into two homogeneous isotropic rocks</w:t>
      </w:r>
      <w:r w:rsidR="00636706">
        <w:rPr>
          <w:sz w:val="28"/>
          <w:szCs w:val="28"/>
        </w:rPr>
        <w:t xml:space="preserve"> with no flow boundary condition</w:t>
      </w:r>
      <w:r>
        <w:rPr>
          <w:sz w:val="28"/>
          <w:szCs w:val="28"/>
        </w:rPr>
        <w:t>.</w:t>
      </w:r>
      <w:r w:rsidR="009327FC">
        <w:rPr>
          <w:sz w:val="28"/>
          <w:szCs w:val="28"/>
        </w:rPr>
        <w:t xml:space="preserve"> The injector is a vertical well in the less permeable rock, and the producer is in the permeable rock. I ran three simulation</w:t>
      </w:r>
      <w:r w:rsidR="00A71596">
        <w:rPr>
          <w:sz w:val="28"/>
          <w:szCs w:val="28"/>
        </w:rPr>
        <w:t>s</w:t>
      </w:r>
      <w:r w:rsidR="009327FC">
        <w:rPr>
          <w:sz w:val="28"/>
          <w:szCs w:val="28"/>
        </w:rPr>
        <w:t>:</w:t>
      </w:r>
    </w:p>
    <w:p w14:paraId="14E66AA5" w14:textId="15C8AAAA" w:rsidR="009327FC" w:rsidRDefault="009327FC" w:rsidP="00932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Vertical Producer</w:t>
      </w:r>
    </w:p>
    <w:p w14:paraId="3A4CAFFA" w14:textId="11220FEF" w:rsidR="009327FC" w:rsidRDefault="009327FC" w:rsidP="00932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Horizontal Producer</w:t>
      </w:r>
    </w:p>
    <w:p w14:paraId="7C5731A7" w14:textId="3C9E918A" w:rsidR="009327FC" w:rsidRDefault="00A71596" w:rsidP="00932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327FC">
        <w:rPr>
          <w:sz w:val="28"/>
          <w:szCs w:val="28"/>
        </w:rPr>
        <w:t>Multilateral Producer</w:t>
      </w:r>
    </w:p>
    <w:p w14:paraId="45A91AF8" w14:textId="77777777" w:rsidR="00A204C5" w:rsidRDefault="00A204C5" w:rsidP="00A204C5">
      <w:pPr>
        <w:rPr>
          <w:sz w:val="28"/>
          <w:szCs w:val="28"/>
        </w:rPr>
      </w:pPr>
    </w:p>
    <w:p w14:paraId="27F5A9D1" w14:textId="57283C4F" w:rsidR="00A204C5" w:rsidRDefault="00A204C5" w:rsidP="00A204C5">
      <w:pPr>
        <w:rPr>
          <w:sz w:val="28"/>
          <w:szCs w:val="28"/>
        </w:rPr>
      </w:pPr>
      <w:r>
        <w:rPr>
          <w:sz w:val="28"/>
          <w:szCs w:val="28"/>
        </w:rPr>
        <w:t>We can see in the simulation result</w:t>
      </w:r>
      <w:r w:rsidR="00A71596">
        <w:rPr>
          <w:sz w:val="28"/>
          <w:szCs w:val="28"/>
        </w:rPr>
        <w:t>s</w:t>
      </w:r>
      <w:r>
        <w:rPr>
          <w:sz w:val="28"/>
          <w:szCs w:val="28"/>
        </w:rPr>
        <w:t xml:space="preserve"> that the </w:t>
      </w:r>
      <w:r w:rsidR="00A71596">
        <w:rPr>
          <w:sz w:val="28"/>
          <w:szCs w:val="28"/>
        </w:rPr>
        <w:t>waterfront</w:t>
      </w:r>
      <w:r>
        <w:rPr>
          <w:sz w:val="28"/>
          <w:szCs w:val="28"/>
        </w:rPr>
        <w:t xml:space="preserve"> from the lowest penetrations penetrates through the better zone then gradually builds up a water tongue. </w:t>
      </w:r>
    </w:p>
    <w:p w14:paraId="021D69D3" w14:textId="648CC03D" w:rsidR="00A204C5" w:rsidRDefault="00A204C5" w:rsidP="00A204C5">
      <w:pPr>
        <w:rPr>
          <w:sz w:val="28"/>
          <w:szCs w:val="28"/>
        </w:rPr>
      </w:pPr>
      <w:r>
        <w:rPr>
          <w:sz w:val="28"/>
          <w:szCs w:val="28"/>
        </w:rPr>
        <w:t xml:space="preserve">In the case of a vertical </w:t>
      </w:r>
      <w:r w:rsidR="00A71596">
        <w:rPr>
          <w:sz w:val="28"/>
          <w:szCs w:val="28"/>
        </w:rPr>
        <w:t>producer,</w:t>
      </w:r>
      <w:r>
        <w:rPr>
          <w:sz w:val="28"/>
          <w:szCs w:val="28"/>
        </w:rPr>
        <w:t xml:space="preserve"> we see that the advancing water reaches the lowest perforations after 5.3 years. </w:t>
      </w:r>
    </w:p>
    <w:p w14:paraId="6BE9F74B" w14:textId="160D2667" w:rsidR="00A204C5" w:rsidRDefault="00A204C5" w:rsidP="00A204C5">
      <w:pPr>
        <w:rPr>
          <w:sz w:val="28"/>
          <w:szCs w:val="28"/>
        </w:rPr>
      </w:pPr>
      <w:r>
        <w:rPr>
          <w:sz w:val="28"/>
          <w:szCs w:val="28"/>
        </w:rPr>
        <w:t>For the horizontal producer the water reaches the far west side of the reservoir and then extends upward flooding the middle part of the well</w:t>
      </w:r>
      <w:r w:rsidR="00A71596">
        <w:rPr>
          <w:sz w:val="28"/>
          <w:szCs w:val="28"/>
        </w:rPr>
        <w:t xml:space="preserve"> after 7.2 years</w:t>
      </w:r>
      <w:r>
        <w:rPr>
          <w:sz w:val="28"/>
          <w:szCs w:val="28"/>
        </w:rPr>
        <w:t xml:space="preserve">. </w:t>
      </w:r>
    </w:p>
    <w:p w14:paraId="403F73EC" w14:textId="221DA856" w:rsidR="00A71596" w:rsidRDefault="00A204C5" w:rsidP="00A71596">
      <w:pPr>
        <w:rPr>
          <w:sz w:val="28"/>
          <w:szCs w:val="28"/>
        </w:rPr>
      </w:pPr>
      <w:r>
        <w:rPr>
          <w:sz w:val="28"/>
          <w:szCs w:val="28"/>
        </w:rPr>
        <w:t>The multilateral well extends through the permeable rock towards the fault. The water reaches the middle lateral first</w:t>
      </w:r>
      <w:r w:rsidR="00A71596">
        <w:rPr>
          <w:sz w:val="28"/>
          <w:szCs w:val="28"/>
        </w:rPr>
        <w:t xml:space="preserve"> after 3.4 years</w:t>
      </w:r>
      <w:r>
        <w:rPr>
          <w:sz w:val="28"/>
          <w:szCs w:val="28"/>
        </w:rPr>
        <w:t xml:space="preserve"> and then the other parts of the well.</w:t>
      </w:r>
    </w:p>
    <w:p w14:paraId="46E9006E" w14:textId="11977EF9" w:rsidR="00A71596" w:rsidRDefault="00A71596" w:rsidP="00A71596">
      <w:pPr>
        <w:rPr>
          <w:sz w:val="28"/>
          <w:szCs w:val="28"/>
        </w:rPr>
      </w:pPr>
      <w:r>
        <w:rPr>
          <w:sz w:val="28"/>
          <w:szCs w:val="28"/>
        </w:rPr>
        <w:t>The response of the multilateral well will depend on the well path and the number of laterals.</w:t>
      </w:r>
    </w:p>
    <w:p w14:paraId="3BEAAF2B" w14:textId="62004F81" w:rsidR="00A71596" w:rsidRDefault="00A71596" w:rsidP="00A204C5">
      <w:pPr>
        <w:rPr>
          <w:sz w:val="28"/>
          <w:szCs w:val="28"/>
        </w:rPr>
      </w:pPr>
      <w:r>
        <w:rPr>
          <w:sz w:val="28"/>
          <w:szCs w:val="28"/>
        </w:rPr>
        <w:t>The fluid parameters are chosen to exaggerate the effect of gravity and water coning.</w:t>
      </w:r>
    </w:p>
    <w:p w14:paraId="1EE2271E" w14:textId="04F1E656" w:rsidR="00636706" w:rsidRPr="00A204C5" w:rsidRDefault="00636706" w:rsidP="00A204C5">
      <w:pPr>
        <w:rPr>
          <w:sz w:val="28"/>
          <w:szCs w:val="28"/>
        </w:rPr>
      </w:pPr>
      <w:r>
        <w:rPr>
          <w:sz w:val="28"/>
          <w:szCs w:val="28"/>
        </w:rPr>
        <w:t>One can consider bottom or side water drive by adding an influx or pressure boundary conditions. We can add a dip angle to the reservoir or consider a displacement along the less permeable fault by using permeability multipliers.</w:t>
      </w:r>
    </w:p>
    <w:tbl>
      <w:tblPr>
        <w:tblStyle w:val="TableGrid"/>
        <w:tblW w:w="0" w:type="auto"/>
        <w:jc w:val="center"/>
        <w:tblBorders>
          <w:top w:val="thinThickMediumGap" w:sz="18" w:space="0" w:color="auto"/>
          <w:left w:val="thinThickMediumGap" w:sz="18" w:space="0" w:color="auto"/>
          <w:bottom w:val="thickThinMediumGap" w:sz="18" w:space="0" w:color="auto"/>
          <w:right w:val="thickThinMediumGap" w:sz="18" w:space="0" w:color="auto"/>
        </w:tblBorders>
        <w:tblLook w:val="04A0" w:firstRow="1" w:lastRow="0" w:firstColumn="1" w:lastColumn="0" w:noHBand="0" w:noVBand="1"/>
      </w:tblPr>
      <w:tblGrid>
        <w:gridCol w:w="5358"/>
        <w:gridCol w:w="5352"/>
      </w:tblGrid>
      <w:tr w:rsidR="009327FC" w14:paraId="7484E010" w14:textId="77777777" w:rsidTr="009327FC">
        <w:trPr>
          <w:trHeight w:val="144"/>
          <w:jc w:val="center"/>
        </w:trPr>
        <w:tc>
          <w:tcPr>
            <w:tcW w:w="10790" w:type="dxa"/>
            <w:gridSpan w:val="2"/>
            <w:vAlign w:val="center"/>
          </w:tcPr>
          <w:p w14:paraId="070561C8" w14:textId="2CAEAADC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Hanging Block, Yellow</w:t>
            </w:r>
          </w:p>
        </w:tc>
      </w:tr>
      <w:tr w:rsidR="009327FC" w14:paraId="22DF509A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2894BEAC" w14:textId="12FC9204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Porosity</w:t>
            </w:r>
          </w:p>
        </w:tc>
        <w:tc>
          <w:tcPr>
            <w:tcW w:w="5395" w:type="dxa"/>
            <w:vAlign w:val="center"/>
          </w:tcPr>
          <w:p w14:paraId="6D63A5DF" w14:textId="133BE5A5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9327FC" w14:paraId="1AB57166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6C23EFB2" w14:textId="04360B65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Permeability</w:t>
            </w:r>
          </w:p>
        </w:tc>
        <w:tc>
          <w:tcPr>
            <w:tcW w:w="5395" w:type="dxa"/>
            <w:vAlign w:val="center"/>
          </w:tcPr>
          <w:p w14:paraId="39AF7201" w14:textId="77466164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50 mD</w:t>
            </w:r>
          </w:p>
        </w:tc>
      </w:tr>
      <w:tr w:rsidR="009327FC" w14:paraId="4C2B0215" w14:textId="77777777" w:rsidTr="009327FC">
        <w:trPr>
          <w:trHeight w:val="144"/>
          <w:jc w:val="center"/>
        </w:trPr>
        <w:tc>
          <w:tcPr>
            <w:tcW w:w="10790" w:type="dxa"/>
            <w:gridSpan w:val="2"/>
            <w:vAlign w:val="center"/>
          </w:tcPr>
          <w:p w14:paraId="58E10934" w14:textId="4EFCAE09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Travelling Block, pink</w:t>
            </w:r>
          </w:p>
        </w:tc>
      </w:tr>
      <w:tr w:rsidR="009327FC" w14:paraId="72A0B626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28FBB294" w14:textId="361C3B70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porosity</w:t>
            </w:r>
          </w:p>
        </w:tc>
        <w:tc>
          <w:tcPr>
            <w:tcW w:w="5395" w:type="dxa"/>
            <w:vAlign w:val="center"/>
          </w:tcPr>
          <w:p w14:paraId="5AFE8E2A" w14:textId="20C64FED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0.3</w:t>
            </w:r>
          </w:p>
        </w:tc>
      </w:tr>
      <w:tr w:rsidR="009327FC" w14:paraId="2D6ABDB5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1A78C84B" w14:textId="3A52C33D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permeability</w:t>
            </w:r>
          </w:p>
        </w:tc>
        <w:tc>
          <w:tcPr>
            <w:tcW w:w="5395" w:type="dxa"/>
            <w:vAlign w:val="center"/>
          </w:tcPr>
          <w:p w14:paraId="26A89BB9" w14:textId="3BF5EE46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600 mD</w:t>
            </w:r>
          </w:p>
        </w:tc>
      </w:tr>
      <w:tr w:rsidR="009327FC" w14:paraId="18059259" w14:textId="77777777" w:rsidTr="009327FC">
        <w:trPr>
          <w:trHeight w:val="144"/>
          <w:jc w:val="center"/>
        </w:trPr>
        <w:tc>
          <w:tcPr>
            <w:tcW w:w="10790" w:type="dxa"/>
            <w:gridSpan w:val="2"/>
            <w:vAlign w:val="center"/>
          </w:tcPr>
          <w:p w14:paraId="3432B2E4" w14:textId="0184FF9C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Reservoir Dimensions</w:t>
            </w:r>
          </w:p>
        </w:tc>
      </w:tr>
      <w:tr w:rsidR="009327FC" w14:paraId="031F72AF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5B01D04B" w14:textId="744824D0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lastRenderedPageBreak/>
              <w:t>Lx</w:t>
            </w:r>
          </w:p>
        </w:tc>
        <w:tc>
          <w:tcPr>
            <w:tcW w:w="5395" w:type="dxa"/>
            <w:vAlign w:val="center"/>
          </w:tcPr>
          <w:p w14:paraId="6FA0B3D2" w14:textId="40BCEB25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1500 meter</w:t>
            </w:r>
          </w:p>
        </w:tc>
      </w:tr>
      <w:tr w:rsidR="009327FC" w14:paraId="6AEBD015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4A45AD64" w14:textId="4E475373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Ly</w:t>
            </w:r>
          </w:p>
        </w:tc>
        <w:tc>
          <w:tcPr>
            <w:tcW w:w="5395" w:type="dxa"/>
            <w:vAlign w:val="center"/>
          </w:tcPr>
          <w:p w14:paraId="6E19B2C3" w14:textId="6555E507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1000 meter</w:t>
            </w:r>
          </w:p>
        </w:tc>
      </w:tr>
      <w:tr w:rsidR="009327FC" w14:paraId="22B783D8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765EB33D" w14:textId="55971338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327FC">
              <w:rPr>
                <w:b/>
                <w:bCs/>
                <w:sz w:val="28"/>
                <w:szCs w:val="28"/>
              </w:rPr>
              <w:t>Lz</w:t>
            </w:r>
            <w:proofErr w:type="spellEnd"/>
          </w:p>
        </w:tc>
        <w:tc>
          <w:tcPr>
            <w:tcW w:w="5395" w:type="dxa"/>
            <w:vAlign w:val="center"/>
          </w:tcPr>
          <w:p w14:paraId="2A0F297E" w14:textId="417A9997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 xml:space="preserve">200 </w:t>
            </w:r>
            <w:proofErr w:type="gramStart"/>
            <w:r w:rsidRPr="009327FC">
              <w:rPr>
                <w:b/>
                <w:bCs/>
                <w:sz w:val="28"/>
                <w:szCs w:val="28"/>
              </w:rPr>
              <w:t>meter</w:t>
            </w:r>
            <w:proofErr w:type="gramEnd"/>
          </w:p>
        </w:tc>
      </w:tr>
      <w:tr w:rsidR="009327FC" w14:paraId="37E7002C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442CB8E1" w14:textId="5DFC6468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Pore Volume</w:t>
            </w:r>
          </w:p>
        </w:tc>
        <w:tc>
          <w:tcPr>
            <w:tcW w:w="5395" w:type="dxa"/>
            <w:vAlign w:val="center"/>
          </w:tcPr>
          <w:p w14:paraId="02BD6C0E" w14:textId="5BA47250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430.852 MMSTB</w:t>
            </w:r>
          </w:p>
        </w:tc>
      </w:tr>
      <w:tr w:rsidR="009327FC" w14:paraId="722F8B0B" w14:textId="77777777" w:rsidTr="009327FC">
        <w:trPr>
          <w:trHeight w:val="144"/>
          <w:jc w:val="center"/>
        </w:trPr>
        <w:tc>
          <w:tcPr>
            <w:tcW w:w="10790" w:type="dxa"/>
            <w:gridSpan w:val="2"/>
            <w:vAlign w:val="center"/>
          </w:tcPr>
          <w:p w14:paraId="6A76FF5D" w14:textId="1BB18885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Grid Dimensions</w:t>
            </w:r>
          </w:p>
        </w:tc>
      </w:tr>
      <w:tr w:rsidR="009327FC" w14:paraId="7BF214E3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2487C2B2" w14:textId="054EF717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327FC">
              <w:rPr>
                <w:b/>
                <w:bCs/>
                <w:sz w:val="28"/>
                <w:szCs w:val="28"/>
              </w:rPr>
              <w:t>nx</w:t>
            </w:r>
            <w:proofErr w:type="spellEnd"/>
          </w:p>
        </w:tc>
        <w:tc>
          <w:tcPr>
            <w:tcW w:w="5395" w:type="dxa"/>
            <w:vAlign w:val="center"/>
          </w:tcPr>
          <w:p w14:paraId="0744F831" w14:textId="3A4C3C5A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9327FC" w14:paraId="299CF3D9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5BC5FCCC" w14:textId="13175D42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327FC">
              <w:rPr>
                <w:b/>
                <w:bCs/>
                <w:sz w:val="28"/>
                <w:szCs w:val="28"/>
              </w:rPr>
              <w:t>ny</w:t>
            </w:r>
            <w:proofErr w:type="spellEnd"/>
          </w:p>
        </w:tc>
        <w:tc>
          <w:tcPr>
            <w:tcW w:w="5395" w:type="dxa"/>
            <w:vAlign w:val="center"/>
          </w:tcPr>
          <w:p w14:paraId="557FF9BF" w14:textId="6B3A0545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40</w:t>
            </w:r>
          </w:p>
        </w:tc>
      </w:tr>
      <w:tr w:rsidR="009327FC" w14:paraId="7DF8B2AE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4984B1F1" w14:textId="27CC8992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327FC">
              <w:rPr>
                <w:b/>
                <w:bCs/>
                <w:sz w:val="28"/>
                <w:szCs w:val="28"/>
              </w:rPr>
              <w:t>nz</w:t>
            </w:r>
            <w:proofErr w:type="spellEnd"/>
          </w:p>
        </w:tc>
        <w:tc>
          <w:tcPr>
            <w:tcW w:w="5395" w:type="dxa"/>
            <w:vAlign w:val="center"/>
          </w:tcPr>
          <w:p w14:paraId="02AB3ABA" w14:textId="15F98E5A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9327FC" w14:paraId="406DA08A" w14:textId="77777777" w:rsidTr="009327FC">
        <w:trPr>
          <w:trHeight w:val="144"/>
          <w:jc w:val="center"/>
        </w:trPr>
        <w:tc>
          <w:tcPr>
            <w:tcW w:w="10790" w:type="dxa"/>
            <w:gridSpan w:val="2"/>
            <w:vAlign w:val="center"/>
          </w:tcPr>
          <w:p w14:paraId="2D4B64FA" w14:textId="53C77F69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Fluid Properties</w:t>
            </w:r>
          </w:p>
        </w:tc>
      </w:tr>
      <w:tr w:rsidR="009327FC" w14:paraId="1F6AEA46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5B5007BE" w14:textId="24C93E22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Water Density</w:t>
            </w:r>
          </w:p>
        </w:tc>
        <w:tc>
          <w:tcPr>
            <w:tcW w:w="5395" w:type="dxa"/>
            <w:vAlign w:val="center"/>
          </w:tcPr>
          <w:p w14:paraId="2845F8EA" w14:textId="39815199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1014 KG</w:t>
            </w:r>
          </w:p>
        </w:tc>
      </w:tr>
      <w:tr w:rsidR="009327FC" w14:paraId="4EFD3A96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58920F54" w14:textId="0030885C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Water Viscosity</w:t>
            </w:r>
          </w:p>
        </w:tc>
        <w:tc>
          <w:tcPr>
            <w:tcW w:w="5395" w:type="dxa"/>
            <w:vAlign w:val="center"/>
          </w:tcPr>
          <w:p w14:paraId="7662FFD3" w14:textId="193C3624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 cp</w:t>
            </w:r>
          </w:p>
        </w:tc>
      </w:tr>
      <w:tr w:rsidR="009327FC" w14:paraId="768DF56E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64B60CFD" w14:textId="0AFEC614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327FC">
              <w:rPr>
                <w:b/>
                <w:bCs/>
                <w:sz w:val="28"/>
                <w:szCs w:val="28"/>
              </w:rPr>
              <w:t>Swr</w:t>
            </w:r>
            <w:proofErr w:type="spellEnd"/>
          </w:p>
        </w:tc>
        <w:tc>
          <w:tcPr>
            <w:tcW w:w="5395" w:type="dxa"/>
            <w:vAlign w:val="center"/>
          </w:tcPr>
          <w:p w14:paraId="371D352E" w14:textId="43056406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9327FC" w14:paraId="3AB21E60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1694F5DB" w14:textId="1B16BB9B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Oil Density</w:t>
            </w:r>
          </w:p>
        </w:tc>
        <w:tc>
          <w:tcPr>
            <w:tcW w:w="5395" w:type="dxa"/>
            <w:vAlign w:val="center"/>
          </w:tcPr>
          <w:p w14:paraId="6BA882E3" w14:textId="2EFF98EA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400 KG</w:t>
            </w:r>
          </w:p>
        </w:tc>
      </w:tr>
      <w:tr w:rsidR="009327FC" w14:paraId="09F964FB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1DE1540A" w14:textId="645B15C1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Oil Viscosity</w:t>
            </w:r>
          </w:p>
        </w:tc>
        <w:tc>
          <w:tcPr>
            <w:tcW w:w="5395" w:type="dxa"/>
            <w:vAlign w:val="center"/>
          </w:tcPr>
          <w:p w14:paraId="6861C618" w14:textId="290184A7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10 cp</w:t>
            </w:r>
          </w:p>
        </w:tc>
      </w:tr>
      <w:tr w:rsidR="009327FC" w14:paraId="5BE6C8DF" w14:textId="77777777" w:rsidTr="009327FC">
        <w:trPr>
          <w:trHeight w:val="144"/>
          <w:jc w:val="center"/>
        </w:trPr>
        <w:tc>
          <w:tcPr>
            <w:tcW w:w="5395" w:type="dxa"/>
            <w:vAlign w:val="center"/>
          </w:tcPr>
          <w:p w14:paraId="67EF525B" w14:textId="4B0A7412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Sor</w:t>
            </w:r>
          </w:p>
        </w:tc>
        <w:tc>
          <w:tcPr>
            <w:tcW w:w="5395" w:type="dxa"/>
            <w:vAlign w:val="center"/>
          </w:tcPr>
          <w:p w14:paraId="63374F36" w14:textId="0B191238" w:rsidR="009327FC" w:rsidRPr="009327FC" w:rsidRDefault="009327FC" w:rsidP="009327F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7FC">
              <w:rPr>
                <w:b/>
                <w:bCs/>
                <w:sz w:val="28"/>
                <w:szCs w:val="28"/>
              </w:rPr>
              <w:t>0.15</w:t>
            </w:r>
          </w:p>
        </w:tc>
      </w:tr>
    </w:tbl>
    <w:p w14:paraId="11733C39" w14:textId="77777777" w:rsidR="00CA4BD3" w:rsidRDefault="00CA4BD3" w:rsidP="009021FB">
      <w:pPr>
        <w:rPr>
          <w:sz w:val="28"/>
          <w:szCs w:val="28"/>
        </w:rPr>
      </w:pPr>
    </w:p>
    <w:p w14:paraId="2D9021A2" w14:textId="77777777" w:rsidR="00A204C5" w:rsidRPr="009021FB" w:rsidRDefault="00A204C5" w:rsidP="009021FB">
      <w:pPr>
        <w:rPr>
          <w:sz w:val="28"/>
          <w:szCs w:val="28"/>
        </w:rPr>
      </w:pPr>
    </w:p>
    <w:sectPr w:rsidR="00A204C5" w:rsidRPr="009021FB" w:rsidSect="00902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1386"/>
    <w:multiLevelType w:val="hybridMultilevel"/>
    <w:tmpl w:val="3568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23"/>
    <w:rsid w:val="0019113B"/>
    <w:rsid w:val="00571E01"/>
    <w:rsid w:val="00574644"/>
    <w:rsid w:val="00636706"/>
    <w:rsid w:val="006D6F23"/>
    <w:rsid w:val="0083289D"/>
    <w:rsid w:val="009021FB"/>
    <w:rsid w:val="009327FC"/>
    <w:rsid w:val="00A204C5"/>
    <w:rsid w:val="00A71596"/>
    <w:rsid w:val="00BF6C78"/>
    <w:rsid w:val="00C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7E4F"/>
  <w15:chartTrackingRefBased/>
  <w15:docId w15:val="{6A59D445-C106-44FF-BF5D-8CEE55CD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BEFC-9EEB-4CAE-8F48-57010272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Heshmat</dc:creator>
  <cp:keywords/>
  <dc:description/>
  <cp:lastModifiedBy>Mahmoud Heshmat</cp:lastModifiedBy>
  <cp:revision>3</cp:revision>
  <dcterms:created xsi:type="dcterms:W3CDTF">2023-12-25T13:26:00Z</dcterms:created>
  <dcterms:modified xsi:type="dcterms:W3CDTF">2023-12-25T14:47:00Z</dcterms:modified>
</cp:coreProperties>
</file>