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F07723" w14:textId="26A7C4FF" w:rsidR="009A38C3" w:rsidRDefault="003861B2" w:rsidP="003861B2">
      <w:r w:rsidRPr="003861B2">
        <w:t>Advantages of using a logic model for sport or recreation program evaluation, as per Chen (2015), include defining goals and objectives, identifying inputs/actions/outputs, monitoring outcomes/indicators, offering a systematic approach, being adaptable, easy to navigate and follow, and presenting information effectively.</w:t>
      </w:r>
    </w:p>
    <w:sectPr w:rsidR="009A38C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661"/>
    <w:rsid w:val="00173661"/>
    <w:rsid w:val="003861B2"/>
    <w:rsid w:val="00886CBF"/>
    <w:rsid w:val="009A3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989F79-AC31-4647-8405-68CC7E5F9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275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Moustafa</dc:creator>
  <cp:keywords/>
  <dc:description/>
  <cp:lastModifiedBy>Mahmoud Moustafa</cp:lastModifiedBy>
  <cp:revision>2</cp:revision>
  <dcterms:created xsi:type="dcterms:W3CDTF">2023-04-27T03:03:00Z</dcterms:created>
  <dcterms:modified xsi:type="dcterms:W3CDTF">2023-04-27T03:03:00Z</dcterms:modified>
</cp:coreProperties>
</file>