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5D0E0" w14:textId="452C0F24" w:rsidR="00DD5A2D" w:rsidRDefault="00171D87" w:rsidP="00DD5A2D">
      <w:pPr>
        <w:pStyle w:val="Title"/>
        <w:jc w:val="center"/>
      </w:pPr>
      <w:r>
        <w:t>Saudi Aramco</w:t>
      </w:r>
      <w:r w:rsidR="00DD5A2D">
        <w:t xml:space="preserve"> Sustainability Report</w:t>
      </w:r>
    </w:p>
    <w:p w14:paraId="06F7867E" w14:textId="77777777" w:rsidR="00F0624E" w:rsidRPr="00F0624E" w:rsidRDefault="00F0624E" w:rsidP="00F0624E"/>
    <w:p w14:paraId="2D9108C0" w14:textId="0D46231B" w:rsidR="00171D87" w:rsidRDefault="00D345CB">
      <w:hyperlink r:id="rId5" w:history="1">
        <w:r w:rsidR="00171D87" w:rsidRPr="0009771E">
          <w:rPr>
            <w:rStyle w:val="Hyperlink"/>
          </w:rPr>
          <w:t>https://www.aramco.com/-/media/publications/corporate-reports/saudi-aramco-ara-2020-english.pdf</w:t>
        </w:r>
      </w:hyperlink>
    </w:p>
    <w:p w14:paraId="4888CD8F" w14:textId="07013CDB" w:rsidR="00F0624E" w:rsidRDefault="00F0624E">
      <w:r>
        <w:br/>
      </w:r>
      <w:r w:rsidRPr="00E144EF">
        <w:rPr>
          <w:b/>
          <w:bCs/>
        </w:rPr>
        <w:t>Company chosen:</w:t>
      </w:r>
      <w:r>
        <w:t xml:space="preserve"> </w:t>
      </w:r>
      <w:r w:rsidR="00FD0214">
        <w:t>Saudi Aramco</w:t>
      </w:r>
    </w:p>
    <w:p w14:paraId="61588D69" w14:textId="77777777" w:rsidR="00E144EF" w:rsidRDefault="00E144EF">
      <w:pPr>
        <w:rPr>
          <w:b/>
          <w:bCs/>
        </w:rPr>
      </w:pPr>
    </w:p>
    <w:p w14:paraId="1D0AC54D" w14:textId="6C67B35B" w:rsidR="00E144EF" w:rsidRDefault="00E144EF">
      <w:pPr>
        <w:rPr>
          <w:b/>
          <w:bCs/>
        </w:rPr>
      </w:pPr>
      <w:r w:rsidRPr="00E144EF">
        <w:rPr>
          <w:b/>
          <w:bCs/>
        </w:rPr>
        <w:t>Overview</w:t>
      </w:r>
      <w:r>
        <w:rPr>
          <w:b/>
          <w:bCs/>
        </w:rPr>
        <w:t xml:space="preserve">: </w:t>
      </w:r>
    </w:p>
    <w:p w14:paraId="48852021" w14:textId="362E6862" w:rsidR="00E144EF" w:rsidRDefault="00E144EF">
      <w:pPr>
        <w:rPr>
          <w:b/>
          <w:bCs/>
        </w:rPr>
      </w:pPr>
    </w:p>
    <w:p w14:paraId="2D673BA3" w14:textId="4E159862" w:rsidR="00E144EF" w:rsidRDefault="003962E2" w:rsidP="00FD0214">
      <w:pPr>
        <w:rPr>
          <w:lang w:eastAsia="en-CA"/>
        </w:rPr>
      </w:pPr>
      <w:r w:rsidRPr="003962E2">
        <w:rPr>
          <w:lang w:eastAsia="en-CA"/>
        </w:rPr>
        <w:t>Saudi Aramco, officially the Saudi Arabian Oil Company, is a Saudi Arabian public petroleum and natural gas company based in Dhahran.</w:t>
      </w:r>
      <w:r>
        <w:rPr>
          <w:lang w:eastAsia="en-CA"/>
        </w:rPr>
        <w:t xml:space="preserve"> </w:t>
      </w:r>
      <w:r w:rsidR="00FD0214">
        <w:rPr>
          <w:lang w:eastAsia="en-CA"/>
        </w:rPr>
        <w:t>Aramco is one of the world’s largest integrated energy and chemicals companies. Aramco's primary operating segments are Upstream and Downstream, which are supported by corporate activities. Aramco’s upstream operations are primarily based in Saudi Arabia, while the downstream business is global.</w:t>
      </w:r>
    </w:p>
    <w:p w14:paraId="2D83C2A4" w14:textId="32CEDBA8" w:rsidR="00C1264D" w:rsidRDefault="00C1264D" w:rsidP="00FD0214">
      <w:pPr>
        <w:rPr>
          <w:lang w:eastAsia="en-CA"/>
        </w:rPr>
      </w:pPr>
    </w:p>
    <w:p w14:paraId="44CD79D9" w14:textId="19C84E0E" w:rsidR="00C1264D" w:rsidRDefault="00C1264D" w:rsidP="00FD0214">
      <w:pPr>
        <w:rPr>
          <w:lang w:eastAsia="en-CA"/>
        </w:rPr>
      </w:pPr>
    </w:p>
    <w:p w14:paraId="346728DB" w14:textId="5DA4FEAB" w:rsidR="00C1264D" w:rsidRDefault="00C1264D" w:rsidP="00FD0214">
      <w:pPr>
        <w:rPr>
          <w:lang w:eastAsia="en-CA"/>
        </w:rPr>
      </w:pPr>
      <w:r>
        <w:rPr>
          <w:lang w:eastAsia="en-CA"/>
        </w:rPr>
        <w:t>Saudi Aramco Value Chain Analysis</w:t>
      </w:r>
    </w:p>
    <w:p w14:paraId="1DCADF5C" w14:textId="002C55E8" w:rsidR="00C1264D" w:rsidRDefault="00C1264D" w:rsidP="00FD0214">
      <w:pPr>
        <w:rPr>
          <w:b/>
          <w:bCs/>
        </w:rPr>
      </w:pPr>
      <w:r w:rsidRPr="00C1264D">
        <w:rPr>
          <w:b/>
          <w:bCs/>
          <w:noProof/>
        </w:rPr>
        <w:drawing>
          <wp:inline distT="0" distB="0" distL="0" distR="0" wp14:anchorId="12D303C9" wp14:editId="7177134D">
            <wp:extent cx="5943600" cy="229425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5943600" cy="2294255"/>
                    </a:xfrm>
                    <a:prstGeom prst="rect">
                      <a:avLst/>
                    </a:prstGeom>
                  </pic:spPr>
                </pic:pic>
              </a:graphicData>
            </a:graphic>
          </wp:inline>
        </w:drawing>
      </w:r>
    </w:p>
    <w:p w14:paraId="3FE84C2B" w14:textId="37FD9232" w:rsidR="00C1264D" w:rsidRDefault="00C1264D" w:rsidP="00FD0214">
      <w:pPr>
        <w:rPr>
          <w:b/>
          <w:bCs/>
        </w:rPr>
      </w:pPr>
      <w:r w:rsidRPr="00C1264D">
        <w:rPr>
          <w:b/>
          <w:bCs/>
          <w:noProof/>
        </w:rPr>
        <w:lastRenderedPageBreak/>
        <w:drawing>
          <wp:inline distT="0" distB="0" distL="0" distR="0" wp14:anchorId="443B8D00" wp14:editId="5160213A">
            <wp:extent cx="5943600" cy="2685415"/>
            <wp:effectExtent l="0" t="0" r="0" b="63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7"/>
                    <a:stretch>
                      <a:fillRect/>
                    </a:stretch>
                  </pic:blipFill>
                  <pic:spPr>
                    <a:xfrm>
                      <a:off x="0" y="0"/>
                      <a:ext cx="5943600" cy="2685415"/>
                    </a:xfrm>
                    <a:prstGeom prst="rect">
                      <a:avLst/>
                    </a:prstGeom>
                  </pic:spPr>
                </pic:pic>
              </a:graphicData>
            </a:graphic>
          </wp:inline>
        </w:drawing>
      </w:r>
    </w:p>
    <w:p w14:paraId="15DE4D8D" w14:textId="0C51D558" w:rsidR="00BB03A3" w:rsidRDefault="00BB03A3" w:rsidP="00FD0214">
      <w:pPr>
        <w:rPr>
          <w:b/>
          <w:bCs/>
        </w:rPr>
      </w:pPr>
    </w:p>
    <w:p w14:paraId="3A725082" w14:textId="6A1B51C2" w:rsidR="00BB03A3" w:rsidRDefault="00BB03A3" w:rsidP="00FD0214">
      <w:pPr>
        <w:rPr>
          <w:b/>
          <w:bCs/>
        </w:rPr>
      </w:pPr>
      <w:r>
        <w:rPr>
          <w:b/>
          <w:bCs/>
        </w:rPr>
        <w:t>Looking outside in: Social Influences on competitiveness</w:t>
      </w:r>
    </w:p>
    <w:p w14:paraId="3B6B0CC7" w14:textId="36E74DB2" w:rsidR="00BB03A3" w:rsidRDefault="00BB03A3" w:rsidP="00FD0214">
      <w:pPr>
        <w:rPr>
          <w:b/>
          <w:bCs/>
        </w:rPr>
      </w:pPr>
      <w:r w:rsidRPr="00BB03A3">
        <w:rPr>
          <w:b/>
          <w:bCs/>
          <w:noProof/>
        </w:rPr>
        <w:drawing>
          <wp:inline distT="0" distB="0" distL="0" distR="0" wp14:anchorId="43FB770A" wp14:editId="0A033A27">
            <wp:extent cx="5943600" cy="420370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4203700"/>
                    </a:xfrm>
                    <a:prstGeom prst="rect">
                      <a:avLst/>
                    </a:prstGeom>
                  </pic:spPr>
                </pic:pic>
              </a:graphicData>
            </a:graphic>
          </wp:inline>
        </w:drawing>
      </w:r>
    </w:p>
    <w:p w14:paraId="629C6700" w14:textId="252853D4" w:rsidR="00DA10D3" w:rsidRDefault="00DA10D3" w:rsidP="00FD0214">
      <w:pPr>
        <w:rPr>
          <w:b/>
          <w:bCs/>
        </w:rPr>
      </w:pPr>
    </w:p>
    <w:p w14:paraId="1724A3EA" w14:textId="73B10ED0" w:rsidR="00DA10D3" w:rsidRDefault="00DA10D3" w:rsidP="00FD0214">
      <w:pPr>
        <w:rPr>
          <w:b/>
          <w:bCs/>
        </w:rPr>
      </w:pPr>
    </w:p>
    <w:p w14:paraId="2C937A28" w14:textId="305A5D9D" w:rsidR="0057374C" w:rsidRDefault="0057374C" w:rsidP="00FD0214">
      <w:pPr>
        <w:rPr>
          <w:b/>
          <w:bCs/>
        </w:rPr>
      </w:pPr>
      <w:r>
        <w:rPr>
          <w:b/>
          <w:bCs/>
        </w:rPr>
        <w:lastRenderedPageBreak/>
        <w:t>Corporate Involvement in Society</w:t>
      </w:r>
    </w:p>
    <w:p w14:paraId="6A92345A" w14:textId="2474B6BF" w:rsidR="00DA10D3" w:rsidRDefault="00DA10D3" w:rsidP="00FD0214">
      <w:pPr>
        <w:rPr>
          <w:b/>
          <w:bCs/>
        </w:rPr>
      </w:pPr>
      <w:r w:rsidRPr="00DA10D3">
        <w:rPr>
          <w:b/>
          <w:bCs/>
        </w:rPr>
        <w:t>Responsive CSR involves companies acting as good citizens and actively mitigating the potentially harmful effects of their value chain on society</w:t>
      </w:r>
    </w:p>
    <w:p w14:paraId="598BFB73" w14:textId="7B55F654" w:rsidR="00DA10D3" w:rsidRDefault="00DA10D3" w:rsidP="00DA10D3">
      <w:pPr>
        <w:rPr>
          <w:b/>
          <w:bCs/>
        </w:rPr>
      </w:pPr>
      <w:r w:rsidRPr="00DA10D3">
        <w:rPr>
          <w:b/>
          <w:bCs/>
        </w:rPr>
        <w:t>Strategic</w:t>
      </w:r>
      <w:r>
        <w:rPr>
          <w:b/>
          <w:bCs/>
        </w:rPr>
        <w:t xml:space="preserve"> </w:t>
      </w:r>
      <w:r w:rsidRPr="00DA10D3">
        <w:rPr>
          <w:b/>
          <w:bCs/>
        </w:rPr>
        <w:t>CSR extends beyond these practices and involves initiatives</w:t>
      </w:r>
      <w:r>
        <w:rPr>
          <w:b/>
          <w:bCs/>
        </w:rPr>
        <w:t xml:space="preserve"> </w:t>
      </w:r>
      <w:r w:rsidRPr="00DA10D3">
        <w:rPr>
          <w:b/>
          <w:bCs/>
        </w:rPr>
        <w:t>that both</w:t>
      </w:r>
      <w:r>
        <w:rPr>
          <w:b/>
          <w:bCs/>
        </w:rPr>
        <w:t xml:space="preserve"> </w:t>
      </w:r>
      <w:r w:rsidRPr="00DA10D3">
        <w:rPr>
          <w:b/>
          <w:bCs/>
        </w:rPr>
        <w:t>differentiate themselves from their competitors</w:t>
      </w:r>
      <w:r>
        <w:rPr>
          <w:b/>
          <w:bCs/>
        </w:rPr>
        <w:t xml:space="preserve"> </w:t>
      </w:r>
      <w:r w:rsidRPr="00DA10D3">
        <w:rPr>
          <w:b/>
          <w:bCs/>
        </w:rPr>
        <w:t>and are distinctly beneficial to society and the environment</w:t>
      </w:r>
    </w:p>
    <w:p w14:paraId="2BD7FA7D" w14:textId="17B15E8F" w:rsidR="007C34C7" w:rsidRDefault="007C34C7" w:rsidP="00DA10D3">
      <w:pPr>
        <w:rPr>
          <w:b/>
          <w:bCs/>
        </w:rPr>
      </w:pPr>
    </w:p>
    <w:tbl>
      <w:tblPr>
        <w:tblStyle w:val="TableGrid"/>
        <w:tblW w:w="0" w:type="auto"/>
        <w:tblLook w:val="04A0" w:firstRow="1" w:lastRow="0" w:firstColumn="1" w:lastColumn="0" w:noHBand="0" w:noVBand="1"/>
      </w:tblPr>
      <w:tblGrid>
        <w:gridCol w:w="3116"/>
        <w:gridCol w:w="3117"/>
        <w:gridCol w:w="3117"/>
      </w:tblGrid>
      <w:tr w:rsidR="007C34C7" w14:paraId="11661A38" w14:textId="77777777" w:rsidTr="007C34C7">
        <w:tc>
          <w:tcPr>
            <w:tcW w:w="3116" w:type="dxa"/>
          </w:tcPr>
          <w:p w14:paraId="7F72A3A5" w14:textId="30183BE4" w:rsidR="007C34C7" w:rsidRDefault="007C34C7" w:rsidP="00DA10D3">
            <w:pPr>
              <w:rPr>
                <w:b/>
                <w:bCs/>
              </w:rPr>
            </w:pPr>
            <w:r>
              <w:rPr>
                <w:b/>
                <w:bCs/>
              </w:rPr>
              <w:t>Generic Social Impacts</w:t>
            </w:r>
          </w:p>
        </w:tc>
        <w:tc>
          <w:tcPr>
            <w:tcW w:w="3117" w:type="dxa"/>
          </w:tcPr>
          <w:p w14:paraId="6BFCDAE3" w14:textId="0F75DEEA" w:rsidR="007C34C7" w:rsidRDefault="007C34C7" w:rsidP="00DA10D3">
            <w:pPr>
              <w:rPr>
                <w:b/>
                <w:bCs/>
              </w:rPr>
            </w:pPr>
            <w:r>
              <w:rPr>
                <w:b/>
                <w:bCs/>
              </w:rPr>
              <w:t>Value Chain Social Impacts</w:t>
            </w:r>
          </w:p>
        </w:tc>
        <w:tc>
          <w:tcPr>
            <w:tcW w:w="3117" w:type="dxa"/>
          </w:tcPr>
          <w:p w14:paraId="5E6630AC" w14:textId="12FD84C8" w:rsidR="007C34C7" w:rsidRDefault="007C34C7" w:rsidP="00DA10D3">
            <w:pPr>
              <w:rPr>
                <w:b/>
                <w:bCs/>
              </w:rPr>
            </w:pPr>
            <w:r>
              <w:rPr>
                <w:b/>
                <w:bCs/>
              </w:rPr>
              <w:t>Social Dimensions of Competitive Context</w:t>
            </w:r>
          </w:p>
        </w:tc>
      </w:tr>
      <w:tr w:rsidR="007C34C7" w14:paraId="4C08142B" w14:textId="77777777" w:rsidTr="007C34C7">
        <w:tc>
          <w:tcPr>
            <w:tcW w:w="3116" w:type="dxa"/>
          </w:tcPr>
          <w:p w14:paraId="54A27956" w14:textId="77777777" w:rsidR="009B726A" w:rsidRPr="003D0AB2" w:rsidRDefault="009B726A" w:rsidP="009B726A">
            <w:pPr>
              <w:rPr>
                <w:highlight w:val="yellow"/>
              </w:rPr>
            </w:pPr>
            <w:r w:rsidRPr="003D0AB2">
              <w:rPr>
                <w:highlight w:val="yellow"/>
              </w:rPr>
              <w:t>Aramco has identified several</w:t>
            </w:r>
          </w:p>
          <w:p w14:paraId="7815C8EF" w14:textId="77777777" w:rsidR="009B726A" w:rsidRPr="003D0AB2" w:rsidRDefault="009B726A" w:rsidP="009B726A">
            <w:pPr>
              <w:rPr>
                <w:highlight w:val="yellow"/>
              </w:rPr>
            </w:pPr>
            <w:r w:rsidRPr="003D0AB2">
              <w:rPr>
                <w:highlight w:val="yellow"/>
              </w:rPr>
              <w:t>micro-industries — beekeeping in al-Baha, fisheries in Yanbu' and Baish,</w:t>
            </w:r>
          </w:p>
          <w:p w14:paraId="76CA683D" w14:textId="77777777" w:rsidR="009B726A" w:rsidRPr="003D0AB2" w:rsidRDefault="009B726A" w:rsidP="009B726A">
            <w:pPr>
              <w:rPr>
                <w:highlight w:val="yellow"/>
              </w:rPr>
            </w:pPr>
            <w:r w:rsidRPr="003D0AB2">
              <w:rPr>
                <w:highlight w:val="yellow"/>
              </w:rPr>
              <w:t>olive products in al-Jouf, among many others, which, with the right business model</w:t>
            </w:r>
          </w:p>
          <w:p w14:paraId="4E0DF042" w14:textId="77777777" w:rsidR="009B726A" w:rsidRPr="003D0AB2" w:rsidRDefault="009B726A" w:rsidP="009B726A">
            <w:pPr>
              <w:rPr>
                <w:highlight w:val="yellow"/>
              </w:rPr>
            </w:pPr>
            <w:r w:rsidRPr="003D0AB2">
              <w:rPr>
                <w:highlight w:val="yellow"/>
              </w:rPr>
              <w:t>and support, are ripe for generating long-term impact for local communities. Aramco is providing community members</w:t>
            </w:r>
          </w:p>
          <w:p w14:paraId="07C6F6D0" w14:textId="77777777" w:rsidR="009B726A" w:rsidRPr="003D0AB2" w:rsidRDefault="009B726A" w:rsidP="009B726A">
            <w:pPr>
              <w:rPr>
                <w:highlight w:val="yellow"/>
              </w:rPr>
            </w:pPr>
            <w:r w:rsidRPr="003D0AB2">
              <w:rPr>
                <w:highlight w:val="yellow"/>
              </w:rPr>
              <w:t>with more than an additional source of income, we’re equipping them with the</w:t>
            </w:r>
          </w:p>
          <w:p w14:paraId="76F72D13" w14:textId="77777777" w:rsidR="009B726A" w:rsidRPr="003D0AB2" w:rsidRDefault="009B726A" w:rsidP="009B726A">
            <w:pPr>
              <w:rPr>
                <w:highlight w:val="yellow"/>
              </w:rPr>
            </w:pPr>
            <w:r w:rsidRPr="003D0AB2">
              <w:rPr>
                <w:highlight w:val="yellow"/>
              </w:rPr>
              <w:t>knowledge and skills to establish, manage, and develop sustainable</w:t>
            </w:r>
          </w:p>
          <w:p w14:paraId="038935DB" w14:textId="77777777" w:rsidR="009B726A" w:rsidRPr="003D0AB2" w:rsidRDefault="009B726A" w:rsidP="009B726A">
            <w:pPr>
              <w:rPr>
                <w:highlight w:val="yellow"/>
              </w:rPr>
            </w:pPr>
            <w:r w:rsidRPr="003D0AB2">
              <w:rPr>
                <w:highlight w:val="yellow"/>
              </w:rPr>
              <w:t>businesses that will make a real difference in people’s lives.</w:t>
            </w:r>
          </w:p>
          <w:p w14:paraId="150880C2" w14:textId="776A22DF" w:rsidR="007C34C7" w:rsidRPr="003D0AB2" w:rsidRDefault="007C34C7" w:rsidP="00F67732">
            <w:pPr>
              <w:rPr>
                <w:highlight w:val="yellow"/>
              </w:rPr>
            </w:pPr>
          </w:p>
        </w:tc>
        <w:tc>
          <w:tcPr>
            <w:tcW w:w="3117" w:type="dxa"/>
          </w:tcPr>
          <w:p w14:paraId="6F7C23B1" w14:textId="59E0DA78" w:rsidR="00013107" w:rsidRPr="003D0AB2" w:rsidRDefault="00013107" w:rsidP="00013107">
            <w:pPr>
              <w:rPr>
                <w:highlight w:val="green"/>
              </w:rPr>
            </w:pPr>
            <w:r w:rsidRPr="003D0AB2">
              <w:rPr>
                <w:highlight w:val="green"/>
              </w:rPr>
              <w:t>Citizenship:</w:t>
            </w:r>
          </w:p>
          <w:p w14:paraId="5973617A" w14:textId="3BDCAC40" w:rsidR="007C34C7" w:rsidRDefault="00013107" w:rsidP="00D345CB">
            <w:r w:rsidRPr="003D0AB2">
              <w:rPr>
                <w:highlight w:val="green"/>
              </w:rPr>
              <w:t>No matter where in the world</w:t>
            </w:r>
            <w:r w:rsidR="003D0AB2">
              <w:rPr>
                <w:highlight w:val="green"/>
              </w:rPr>
              <w:t xml:space="preserve"> Aramco is</w:t>
            </w:r>
            <w:r w:rsidRPr="003D0AB2">
              <w:rPr>
                <w:highlight w:val="green"/>
              </w:rPr>
              <w:t xml:space="preserve"> </w:t>
            </w:r>
            <w:r w:rsidRPr="003D0AB2">
              <w:rPr>
                <w:highlight w:val="green"/>
              </w:rPr>
              <w:t>conducting business, it is important to</w:t>
            </w:r>
            <w:r w:rsidRPr="003D0AB2">
              <w:rPr>
                <w:highlight w:val="green"/>
              </w:rPr>
              <w:t xml:space="preserve"> </w:t>
            </w:r>
            <w:r w:rsidRPr="003D0AB2">
              <w:rPr>
                <w:highlight w:val="green"/>
              </w:rPr>
              <w:t>be known as a good corporate citizen</w:t>
            </w:r>
            <w:r w:rsidRPr="003D0AB2">
              <w:rPr>
                <w:highlight w:val="green"/>
              </w:rPr>
              <w:t xml:space="preserve"> </w:t>
            </w:r>
            <w:r w:rsidRPr="003D0AB2">
              <w:rPr>
                <w:highlight w:val="green"/>
              </w:rPr>
              <w:t>and to be a positive influence within</w:t>
            </w:r>
            <w:r w:rsidR="00D345CB">
              <w:rPr>
                <w:highlight w:val="green"/>
              </w:rPr>
              <w:t xml:space="preserve"> </w:t>
            </w:r>
            <w:r w:rsidRPr="003D0AB2">
              <w:rPr>
                <w:highlight w:val="green"/>
              </w:rPr>
              <w:t>communities. As a global company in</w:t>
            </w:r>
            <w:r w:rsidRPr="003D0AB2">
              <w:rPr>
                <w:highlight w:val="green"/>
              </w:rPr>
              <w:t xml:space="preserve"> </w:t>
            </w:r>
            <w:r w:rsidRPr="003D0AB2">
              <w:rPr>
                <w:highlight w:val="green"/>
              </w:rPr>
              <w:t xml:space="preserve">Saudi Arabia, </w:t>
            </w:r>
            <w:r w:rsidR="008D07BE" w:rsidRPr="003D0AB2">
              <w:rPr>
                <w:highlight w:val="green"/>
              </w:rPr>
              <w:t>Aramco</w:t>
            </w:r>
            <w:r w:rsidRPr="003D0AB2">
              <w:rPr>
                <w:highlight w:val="green"/>
              </w:rPr>
              <w:t xml:space="preserve"> take</w:t>
            </w:r>
            <w:r w:rsidR="008D07BE" w:rsidRPr="003D0AB2">
              <w:rPr>
                <w:highlight w:val="green"/>
              </w:rPr>
              <w:t>s</w:t>
            </w:r>
            <w:r w:rsidRPr="003D0AB2">
              <w:rPr>
                <w:highlight w:val="green"/>
              </w:rPr>
              <w:t xml:space="preserve"> this role seriously.</w:t>
            </w:r>
          </w:p>
          <w:p w14:paraId="5E157464" w14:textId="77777777" w:rsidR="009B726A" w:rsidRDefault="009B726A" w:rsidP="00013107">
            <w:pPr>
              <w:rPr>
                <w:b/>
                <w:bCs/>
              </w:rPr>
            </w:pPr>
          </w:p>
          <w:p w14:paraId="02403E9D" w14:textId="3A6F6228" w:rsidR="009B726A" w:rsidRDefault="009B726A" w:rsidP="00013107">
            <w:pPr>
              <w:rPr>
                <w:b/>
                <w:bCs/>
              </w:rPr>
            </w:pPr>
          </w:p>
        </w:tc>
        <w:tc>
          <w:tcPr>
            <w:tcW w:w="3117" w:type="dxa"/>
          </w:tcPr>
          <w:p w14:paraId="31B3E07D" w14:textId="45F4BF59" w:rsidR="00B10E73" w:rsidRPr="003D0AB2" w:rsidRDefault="00B10E73" w:rsidP="00B10E73">
            <w:pPr>
              <w:rPr>
                <w:highlight w:val="green"/>
              </w:rPr>
            </w:pPr>
            <w:r w:rsidRPr="003D0AB2">
              <w:rPr>
                <w:highlight w:val="green"/>
              </w:rPr>
              <w:t>Aramco is a founding member of</w:t>
            </w:r>
            <w:r w:rsidRPr="003D0AB2">
              <w:rPr>
                <w:highlight w:val="green"/>
              </w:rPr>
              <w:t xml:space="preserve"> </w:t>
            </w:r>
            <w:r w:rsidRPr="003D0AB2">
              <w:rPr>
                <w:highlight w:val="green"/>
              </w:rPr>
              <w:t>the Oil and Gas Climate Initiative</w:t>
            </w:r>
            <w:r w:rsidRPr="003D0AB2">
              <w:rPr>
                <w:highlight w:val="green"/>
              </w:rPr>
              <w:t xml:space="preserve"> </w:t>
            </w:r>
            <w:r w:rsidRPr="003D0AB2">
              <w:rPr>
                <w:highlight w:val="green"/>
              </w:rPr>
              <w:t>(OGCI), whose member companies</w:t>
            </w:r>
          </w:p>
          <w:p w14:paraId="5CB7F58C" w14:textId="77777777" w:rsidR="00B10E73" w:rsidRPr="003D0AB2" w:rsidRDefault="00B10E73" w:rsidP="00B10E73">
            <w:pPr>
              <w:rPr>
                <w:highlight w:val="green"/>
              </w:rPr>
            </w:pPr>
            <w:r w:rsidRPr="003D0AB2">
              <w:rPr>
                <w:highlight w:val="green"/>
              </w:rPr>
              <w:t>explicitly support the Paris</w:t>
            </w:r>
          </w:p>
          <w:p w14:paraId="662E03AF" w14:textId="76BE46D3" w:rsidR="00B10E73" w:rsidRPr="003D0AB2" w:rsidRDefault="00B10E73" w:rsidP="00B10E73">
            <w:pPr>
              <w:rPr>
                <w:highlight w:val="green"/>
              </w:rPr>
            </w:pPr>
            <w:r w:rsidRPr="003D0AB2">
              <w:rPr>
                <w:highlight w:val="green"/>
              </w:rPr>
              <w:t>Agreement, and work to actively</w:t>
            </w:r>
            <w:r w:rsidRPr="003D0AB2">
              <w:rPr>
                <w:highlight w:val="green"/>
              </w:rPr>
              <w:t xml:space="preserve"> </w:t>
            </w:r>
            <w:r w:rsidRPr="003D0AB2">
              <w:rPr>
                <w:highlight w:val="green"/>
              </w:rPr>
              <w:t>shape the global pathway to a low</w:t>
            </w:r>
          </w:p>
          <w:p w14:paraId="75AEBFFC" w14:textId="0E5046AA" w:rsidR="00B10E73" w:rsidRPr="003D0AB2" w:rsidRDefault="00B10E73" w:rsidP="00B10E73">
            <w:pPr>
              <w:rPr>
                <w:b/>
                <w:bCs/>
                <w:highlight w:val="green"/>
              </w:rPr>
            </w:pPr>
            <w:r w:rsidRPr="003D0AB2">
              <w:rPr>
                <w:highlight w:val="green"/>
              </w:rPr>
              <w:t>carbon future</w:t>
            </w:r>
          </w:p>
        </w:tc>
      </w:tr>
      <w:tr w:rsidR="007C34C7" w14:paraId="3B46BC30" w14:textId="77777777" w:rsidTr="007C34C7">
        <w:tc>
          <w:tcPr>
            <w:tcW w:w="3116" w:type="dxa"/>
          </w:tcPr>
          <w:p w14:paraId="6CFA9C7F" w14:textId="7DB75C02" w:rsidR="007C34C7" w:rsidRPr="003D0AB2" w:rsidRDefault="007C34C7" w:rsidP="00DA10D3">
            <w:pPr>
              <w:rPr>
                <w:b/>
                <w:bCs/>
                <w:highlight w:val="yellow"/>
              </w:rPr>
            </w:pPr>
            <w:r w:rsidRPr="003D0AB2">
              <w:rPr>
                <w:b/>
                <w:bCs/>
                <w:highlight w:val="yellow"/>
              </w:rPr>
              <w:t>Responsive CSR</w:t>
            </w:r>
          </w:p>
        </w:tc>
        <w:tc>
          <w:tcPr>
            <w:tcW w:w="3117" w:type="dxa"/>
          </w:tcPr>
          <w:p w14:paraId="07CCFF86" w14:textId="4B2D341B" w:rsidR="0032719D" w:rsidRPr="003D0AB2" w:rsidRDefault="0032719D" w:rsidP="0032719D">
            <w:pPr>
              <w:rPr>
                <w:highlight w:val="yellow"/>
              </w:rPr>
            </w:pPr>
            <w:r w:rsidRPr="003D0AB2">
              <w:rPr>
                <w:highlight w:val="yellow"/>
              </w:rPr>
              <w:t xml:space="preserve">Aramco continues working across </w:t>
            </w:r>
            <w:r w:rsidRPr="003D0AB2">
              <w:rPr>
                <w:highlight w:val="yellow"/>
              </w:rPr>
              <w:t>its</w:t>
            </w:r>
            <w:r w:rsidRPr="003D0AB2">
              <w:rPr>
                <w:highlight w:val="yellow"/>
              </w:rPr>
              <w:t xml:space="preserve"> value chain to help the energy industry reduce carbon emissions, develop</w:t>
            </w:r>
          </w:p>
          <w:p w14:paraId="5E737B1D" w14:textId="77777777" w:rsidR="0032719D" w:rsidRPr="003D0AB2" w:rsidRDefault="0032719D" w:rsidP="0032719D">
            <w:pPr>
              <w:rPr>
                <w:highlight w:val="yellow"/>
              </w:rPr>
            </w:pPr>
            <w:r w:rsidRPr="003D0AB2">
              <w:rPr>
                <w:highlight w:val="yellow"/>
              </w:rPr>
              <w:t>a climate-friendly circular domestic economy, and provide sustainable energy</w:t>
            </w:r>
          </w:p>
          <w:p w14:paraId="0F46F3A9" w14:textId="77777777" w:rsidR="0032719D" w:rsidRPr="003D0AB2" w:rsidRDefault="0032719D" w:rsidP="0032719D">
            <w:pPr>
              <w:rPr>
                <w:highlight w:val="yellow"/>
              </w:rPr>
            </w:pPr>
            <w:r w:rsidRPr="003D0AB2">
              <w:rPr>
                <w:highlight w:val="yellow"/>
              </w:rPr>
              <w:t>supplies for generations to come.</w:t>
            </w:r>
          </w:p>
          <w:p w14:paraId="65529D09" w14:textId="77777777" w:rsidR="007C34C7" w:rsidRPr="003D0AB2" w:rsidRDefault="007C34C7" w:rsidP="00DA10D3">
            <w:pPr>
              <w:rPr>
                <w:b/>
                <w:bCs/>
                <w:highlight w:val="yellow"/>
              </w:rPr>
            </w:pPr>
          </w:p>
        </w:tc>
        <w:tc>
          <w:tcPr>
            <w:tcW w:w="3117" w:type="dxa"/>
          </w:tcPr>
          <w:p w14:paraId="2D5F4780" w14:textId="5E95E24B" w:rsidR="007C34C7" w:rsidRPr="003D0AB2" w:rsidRDefault="007C34C7" w:rsidP="00DA10D3">
            <w:pPr>
              <w:rPr>
                <w:b/>
                <w:bCs/>
                <w:highlight w:val="green"/>
              </w:rPr>
            </w:pPr>
            <w:r w:rsidRPr="003D0AB2">
              <w:rPr>
                <w:b/>
                <w:bCs/>
                <w:highlight w:val="green"/>
              </w:rPr>
              <w:t>Strategic CSR</w:t>
            </w:r>
          </w:p>
        </w:tc>
      </w:tr>
    </w:tbl>
    <w:p w14:paraId="0A8562ED" w14:textId="77777777" w:rsidR="007C34C7" w:rsidRPr="00E144EF" w:rsidRDefault="007C34C7" w:rsidP="00DA10D3">
      <w:pPr>
        <w:rPr>
          <w:b/>
          <w:bCs/>
        </w:rPr>
      </w:pPr>
    </w:p>
    <w:sectPr w:rsidR="007C34C7" w:rsidRPr="00E14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5513D"/>
    <w:multiLevelType w:val="multilevel"/>
    <w:tmpl w:val="9D8818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97"/>
    <w:rsid w:val="00013107"/>
    <w:rsid w:val="000416F5"/>
    <w:rsid w:val="00171D87"/>
    <w:rsid w:val="0032719D"/>
    <w:rsid w:val="003962E2"/>
    <w:rsid w:val="003D0AB2"/>
    <w:rsid w:val="004B2731"/>
    <w:rsid w:val="005247A1"/>
    <w:rsid w:val="0057374C"/>
    <w:rsid w:val="00577F43"/>
    <w:rsid w:val="006D5DF5"/>
    <w:rsid w:val="007834F1"/>
    <w:rsid w:val="00791BAA"/>
    <w:rsid w:val="007C34C7"/>
    <w:rsid w:val="008D07BE"/>
    <w:rsid w:val="009A38C3"/>
    <w:rsid w:val="009B726A"/>
    <w:rsid w:val="00A33477"/>
    <w:rsid w:val="00A87E9E"/>
    <w:rsid w:val="00A94F52"/>
    <w:rsid w:val="00AB7A04"/>
    <w:rsid w:val="00AB7F40"/>
    <w:rsid w:val="00AD71AC"/>
    <w:rsid w:val="00AF7794"/>
    <w:rsid w:val="00B10E73"/>
    <w:rsid w:val="00BB03A3"/>
    <w:rsid w:val="00C1264D"/>
    <w:rsid w:val="00C51D98"/>
    <w:rsid w:val="00D345CB"/>
    <w:rsid w:val="00DA10D3"/>
    <w:rsid w:val="00DD5A2D"/>
    <w:rsid w:val="00E144EF"/>
    <w:rsid w:val="00EB2197"/>
    <w:rsid w:val="00EB7E60"/>
    <w:rsid w:val="00F0624E"/>
    <w:rsid w:val="00F67732"/>
    <w:rsid w:val="00F921AA"/>
    <w:rsid w:val="00FD02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DE38"/>
  <w15:chartTrackingRefBased/>
  <w15:docId w15:val="{4B7CFAFF-61A1-476C-9CC1-3D1F784B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624E"/>
    <w:rPr>
      <w:color w:val="0563C1" w:themeColor="hyperlink"/>
      <w:u w:val="single"/>
    </w:rPr>
  </w:style>
  <w:style w:type="character" w:styleId="UnresolvedMention">
    <w:name w:val="Unresolved Mention"/>
    <w:basedOn w:val="DefaultParagraphFont"/>
    <w:uiPriority w:val="99"/>
    <w:semiHidden/>
    <w:unhideWhenUsed/>
    <w:rsid w:val="00F0624E"/>
    <w:rPr>
      <w:color w:val="605E5C"/>
      <w:shd w:val="clear" w:color="auto" w:fill="E1DFDD"/>
    </w:rPr>
  </w:style>
  <w:style w:type="table" w:styleId="TableGrid">
    <w:name w:val="Table Grid"/>
    <w:basedOn w:val="TableNormal"/>
    <w:uiPriority w:val="39"/>
    <w:rsid w:val="007C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6775">
      <w:bodyDiv w:val="1"/>
      <w:marLeft w:val="0"/>
      <w:marRight w:val="0"/>
      <w:marTop w:val="0"/>
      <w:marBottom w:val="0"/>
      <w:divBdr>
        <w:top w:val="none" w:sz="0" w:space="0" w:color="auto"/>
        <w:left w:val="none" w:sz="0" w:space="0" w:color="auto"/>
        <w:bottom w:val="none" w:sz="0" w:space="0" w:color="auto"/>
        <w:right w:val="none" w:sz="0" w:space="0" w:color="auto"/>
      </w:divBdr>
    </w:div>
    <w:div w:id="554201610">
      <w:bodyDiv w:val="1"/>
      <w:marLeft w:val="0"/>
      <w:marRight w:val="0"/>
      <w:marTop w:val="0"/>
      <w:marBottom w:val="0"/>
      <w:divBdr>
        <w:top w:val="none" w:sz="0" w:space="0" w:color="auto"/>
        <w:left w:val="none" w:sz="0" w:space="0" w:color="auto"/>
        <w:bottom w:val="none" w:sz="0" w:space="0" w:color="auto"/>
        <w:right w:val="none" w:sz="0" w:space="0" w:color="auto"/>
      </w:divBdr>
    </w:div>
    <w:div w:id="593056108">
      <w:bodyDiv w:val="1"/>
      <w:marLeft w:val="0"/>
      <w:marRight w:val="0"/>
      <w:marTop w:val="0"/>
      <w:marBottom w:val="0"/>
      <w:divBdr>
        <w:top w:val="none" w:sz="0" w:space="0" w:color="auto"/>
        <w:left w:val="none" w:sz="0" w:space="0" w:color="auto"/>
        <w:bottom w:val="none" w:sz="0" w:space="0" w:color="auto"/>
        <w:right w:val="none" w:sz="0" w:space="0" w:color="auto"/>
      </w:divBdr>
    </w:div>
    <w:div w:id="635838294">
      <w:bodyDiv w:val="1"/>
      <w:marLeft w:val="0"/>
      <w:marRight w:val="0"/>
      <w:marTop w:val="0"/>
      <w:marBottom w:val="0"/>
      <w:divBdr>
        <w:top w:val="none" w:sz="0" w:space="0" w:color="auto"/>
        <w:left w:val="none" w:sz="0" w:space="0" w:color="auto"/>
        <w:bottom w:val="none" w:sz="0" w:space="0" w:color="auto"/>
        <w:right w:val="none" w:sz="0" w:space="0" w:color="auto"/>
      </w:divBdr>
    </w:div>
    <w:div w:id="783037693">
      <w:bodyDiv w:val="1"/>
      <w:marLeft w:val="0"/>
      <w:marRight w:val="0"/>
      <w:marTop w:val="0"/>
      <w:marBottom w:val="0"/>
      <w:divBdr>
        <w:top w:val="none" w:sz="0" w:space="0" w:color="auto"/>
        <w:left w:val="none" w:sz="0" w:space="0" w:color="auto"/>
        <w:bottom w:val="none" w:sz="0" w:space="0" w:color="auto"/>
        <w:right w:val="none" w:sz="0" w:space="0" w:color="auto"/>
      </w:divBdr>
    </w:div>
    <w:div w:id="981275397">
      <w:bodyDiv w:val="1"/>
      <w:marLeft w:val="0"/>
      <w:marRight w:val="0"/>
      <w:marTop w:val="0"/>
      <w:marBottom w:val="0"/>
      <w:divBdr>
        <w:top w:val="none" w:sz="0" w:space="0" w:color="auto"/>
        <w:left w:val="none" w:sz="0" w:space="0" w:color="auto"/>
        <w:bottom w:val="none" w:sz="0" w:space="0" w:color="auto"/>
        <w:right w:val="none" w:sz="0" w:space="0" w:color="auto"/>
      </w:divBdr>
    </w:div>
    <w:div w:id="202971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ramco.com/-/media/publications/corporate-reports/saudi-aramco-ara-2020-english.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31</cp:revision>
  <dcterms:created xsi:type="dcterms:W3CDTF">2022-03-23T20:07:00Z</dcterms:created>
  <dcterms:modified xsi:type="dcterms:W3CDTF">2022-03-24T15:49:00Z</dcterms:modified>
</cp:coreProperties>
</file>