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22222"/>
          <w:left w:val="single" w:sz="12" w:space="0" w:color="222222"/>
          <w:bottom w:val="single" w:sz="12" w:space="0" w:color="222222"/>
          <w:right w:val="single" w:sz="12" w:space="0" w:color="222222"/>
          <w:insideH w:val="single" w:sz="4" w:space="0" w:color="666666"/>
          <w:insideV w:val="none" w:sz="0" w:space="0" w:color="auto"/>
        </w:tblBorders>
      </w:tblPr>
      <w:tblGrid>
        <w:gridCol w:w="10181"/>
      </w:tblGrid>
      <w:tr>
        <w:tc>
          <w:tcPr>
            <w:tcW w:type="dxa" w:w="10181"/>
            <w:tcMar>
              <w:top w:w="60" w:type="dxa"/>
              <w:bottom w:w="70" w:type="dxa"/>
              <w:left w:w="16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A1A1A"/>
                <w:sz w:val="29"/>
              </w:rPr>
              <w:t>El Hassan Mohamed Abd Alla Abd ElGhani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A1A1A"/>
                <w:sz w:val="27"/>
              </w:rPr>
              <w:t>Giza, Egypt  +201143125143</w:t>
            </w:r>
          </w:p>
          <w:p>
            <w:pPr>
              <w:spacing w:before="0" w:after="40" w:line="276" w:lineRule="auto"/>
            </w:pPr>
            <w:hyperlink r:id="rId9">
              <w:r>
                <w:rPr>
                  <w:rFonts w:ascii="Calibri" w:hAnsi="Calibri" w:cs="Calibri"/>
                  <w:color w:val="2E74B5"/>
                  <w:u w:val="single"/>
                  <w:sz w:val="21"/>
                  <w:szCs w:val="21"/>
                </w:rPr>
                <w:t>hm6574062@gmail.com</w:t>
              </w:r>
            </w:hyperlink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Summary</w:t>
            </w:r>
          </w:p>
          <w:p>
            <w:pPr>
              <w:spacing w:before="0" w:after="60" w:line="278" w:lineRule="auto"/>
              <w:ind w:left="72"/>
            </w:pPr>
            <w:r>
              <w:rPr>
                <w:rFonts w:ascii="Calibri" w:hAnsi="Calibri"/>
                <w:color w:val="222222"/>
                <w:sz w:val="22"/>
              </w:rPr>
              <w:t>Agriculture graduate (B.Sc., 2024) trained in Food Safety and Quality Assurance (QA/QC) across 3 core ISO standards (ISO 22000:2018, ISO 50001:2018, ISO 14001), HACCP, and GMP/GHP frameworks. Experienced in conducting biological and chemical hazard analyses, designing 6+ process flowcharts, drafting Standard Operating Procedures (SOPs), and auditing Prerequisite Programs (PRPs) across food processing models and commercial poultry operations.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Education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Degree: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Bachelor's Degree in Agriculture (Bachelor of Agriculture)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University: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Ain Shams University (ASU) – Egypt</w:t>
            </w:r>
          </w:p>
          <w:p>
            <w:pPr>
              <w:spacing w:before="0" w:after="4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Graduation Year: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2024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Work Experience</w:t>
            </w:r>
          </w:p>
          <w:p>
            <w:pPr>
              <w:spacing w:before="4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Food Quality and Safety Trainee (Food Quality and Safety Training Program)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Organization: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Quality and Food Safety Institute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Audited quality compliance frameworks and sanitation procedures across 3 international standards (ISO 22000:2018, ISO 50001:2018, ISO 14001), PRPs, and Good Manufacturing Practices (GMP/GHP).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Spearheaded hazard assessments across 5+ simulated plant production lines, identifying 12+ biological and chemical contamination risks and establishing preventive controls to achieve 100% food hygiene compliance.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Poultry Production Trainee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Al-Sad Poultry Production Farms – Egypt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Supervised daily production workflows, flock health inspections, and environmental housing controls for commercial batches of 10,000+ birds in an active poultry facility.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Executed farm biosecurity protocols, 3-stage sanitation routines, and disease prevention measures across 4+ housing units, eliminating cross-contamination incidents and maintaining a 98%+ flock survival rate.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Job Title: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Sales Representative – Chat Sales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LANS Academy</w:t>
            </w:r>
          </w:p>
          <w:p>
            <w:pPr>
              <w:spacing w:before="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Duration: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2022 – 2023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>Responsibilities &amp; Achievements: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Advised 40+ prospective students weekly via live chat on medical analysis curricula, converting 20% of inquiries into paid course enrollments.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Coordinated digital outreach campaigns across 5+ training programs in collaboration with a 4-member sales team, increasing student registration volume by 25%.</w:t>
            </w:r>
          </w:p>
          <w:p>
            <w:pPr>
              <w:spacing w:before="90" w:after="36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Company: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Talabat</w:t>
            </w:r>
          </w:p>
          <w:p>
            <w:pPr>
              <w:spacing w:before="0" w:after="5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Duration: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2021 – 2022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Resolved 80+ live customer and dispatch inquiries daily in a high-volume delivery environment, cutting average resolution time to under 3 minutes and achieving a 95%+ satisfaction score.</w:t>
            </w:r>
          </w:p>
          <w:p>
            <w:pPr>
              <w:spacing w:before="0" w:after="4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Directed real-time order recovery across 50+ restaurant partners and delivery couriers per shift, reducing late-delivery exceptions by 15%.</w:t>
            </w:r>
          </w:p>
        </w:tc>
      </w:tr>
      <w:tr>
        <w:tc>
          <w:tcPr>
            <w:tcW w:type="dxa" w:w="10181"/>
            <w:tcMar>
              <w:top w:w="65" w:type="dxa"/>
              <w:bottom w:w="75" w:type="dxa"/>
              <w:left w:w="160" w:type="dxa"/>
              <w:right w:w="160" w:type="dxa"/>
            </w:tcMar>
          </w:tcPr>
          <w:p>
            <w:pPr>
              <w:spacing w:before="4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Academic &amp; Practical Projects</w:t>
            </w:r>
          </w:p>
          <w:p>
            <w:pPr>
              <w:spacing w:before="0" w:after="60" w:line="274" w:lineRule="auto"/>
              <w:ind w:left="144"/>
            </w:pPr>
            <w:r>
              <w:rPr>
                <w:rFonts w:ascii="Calibri" w:hAnsi="Calibri"/>
                <w:b/>
                <w:color w:val="222222"/>
                <w:sz w:val="21"/>
              </w:rPr>
              <w:t xml:space="preserve">Project: </w:t>
            </w:r>
            <w:r>
              <w:rPr>
                <w:rFonts w:ascii="Calibri" w:hAnsi="Calibri"/>
                <w:b w:val="0"/>
                <w:color w:val="222222"/>
                <w:sz w:val="21"/>
              </w:rPr>
              <w:t>Food Safety System Design – Training Project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Engineered a complete Food Safety Plan (HACCP/FSMS) for multi-stage food processing lines, developing 6 operational flowcharts, prerequisite programs (PRPs), and hazard analysis matrices.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Established 4 Critical Control Points (CCPs) across biological, chemical, and physical parameters, defining measurable critical limits and 100% continuous monitoring logs.</w:t>
            </w:r>
          </w:p>
          <w:p>
            <w:pPr>
              <w:spacing w:before="0" w:after="50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Designed root-cause analysis (RCA) workflows and 8 Corrective and Preventive Action (CAPA) protocols to eliminate recurring manufacturing nonconformities.</w:t>
            </w:r>
          </w:p>
        </w:tc>
      </w:tr>
      <w:tr>
        <w:tc>
          <w:tcPr>
            <w:tcW w:type="dxa" w:w="10181"/>
            <w:tcMar>
              <w:top w:w="80" w:type="dxa"/>
              <w:bottom w:w="9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Certifications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22000:2018 – Food Safety Management Systems (FSMS)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50001:2018 – Energy Management Systems (EnMS)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ISO 14001 – Environmental Management Systems (EMS)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HACCP (Hazard Analysis and Critical Control Points)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PRPs (Prerequisite Programs)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GMP (Good Manufacturing Practices)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GHP (Good Hygiene Practices)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Quality and Safety Training Program – Quality and Food Safety Institute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ICDL – Microsoft Office Applications</w:t>
            </w:r>
          </w:p>
        </w:tc>
      </w:tr>
      <w:tr>
        <w:tc>
          <w:tcPr>
            <w:tcW w:type="dxa" w:w="10181"/>
            <w:tcMar>
              <w:top w:w="80" w:type="dxa"/>
              <w:bottom w:w="9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Technical Skills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HACCP &amp; Hazard Analysis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Biological &amp; Chemical Risk Assessment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Food Safety Management Systems (ISO 22000:2018)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Prerequisite Programs (PRPs)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Good Manufacturing Practices (GMP)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Good Hygiene Practices (GHP)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Environmental &amp; Energy Management (ISO 14001 &amp; ISO 50001)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Root Cause Analysis (RCA) &amp; CAPA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Standard Operating Procedures (SOPs) &amp; Quality Auditing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Nonconformity Control &amp; Quality Inspection</w:t>
            </w:r>
          </w:p>
          <w:p>
            <w:pPr>
              <w:spacing w:before="160" w:after="10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Computer Skills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ICDL (International Computer Driving License)</w:t>
            </w:r>
          </w:p>
          <w:p>
            <w:pPr>
              <w:spacing w:before="0" w:after="64" w:line="274" w:lineRule="auto"/>
              <w:ind w:left="547" w:hanging="317"/>
            </w:pPr>
            <w:r>
              <w:rPr>
                <w:rFonts w:ascii="Calibri" w:hAnsi="Calibri"/>
                <w:color w:val="1A1A1A"/>
                <w:sz w:val="21"/>
              </w:rPr>
              <w:t xml:space="preserve">•   </w:t>
            </w:r>
            <w:r>
              <w:rPr>
                <w:rFonts w:ascii="Calibri" w:hAnsi="Calibri"/>
                <w:color w:val="222222"/>
                <w:sz w:val="21"/>
              </w:rPr>
              <w:t>Microsoft Excel, Word, and PowerPoint</w:t>
            </w:r>
          </w:p>
        </w:tc>
      </w:tr>
      <w:tr>
        <w:tc>
          <w:tcPr>
            <w:tcW w:type="dxa" w:w="10181"/>
            <w:tcMar>
              <w:top w:w="80" w:type="dxa"/>
              <w:bottom w:w="120" w:type="dxa"/>
              <w:left w:w="160" w:type="dxa"/>
              <w:right w:w="160" w:type="dxa"/>
            </w:tcMar>
          </w:tcPr>
          <w:p>
            <w:pPr>
              <w:spacing w:before="80" w:after="120" w:line="276" w:lineRule="auto"/>
              <w:ind w:left="72"/>
            </w:pPr>
            <w:r>
              <w:rPr>
                <w:rFonts w:ascii="Calibri" w:hAnsi="Calibri"/>
                <w:b/>
                <w:color w:val="1A1A1A"/>
                <w:sz w:val="27"/>
                <w:u w:val="single"/>
              </w:rPr>
              <w:t>Languages</w:t>
            </w:r>
          </w:p>
          <w:p>
            <w:pPr>
              <w:spacing w:before="0" w:after="70" w:line="276" w:lineRule="auto"/>
              <w:ind w:left="547"/>
            </w:pPr>
            <w:r>
              <w:rPr>
                <w:rFonts w:ascii="Calibri" w:hAnsi="Calibri"/>
                <w:color w:val="222222"/>
                <w:sz w:val="22"/>
              </w:rPr>
              <w:t>Arabic: Native</w:t>
            </w:r>
          </w:p>
          <w:p>
            <w:pPr>
              <w:spacing w:before="0" w:after="70" w:line="276" w:lineRule="auto"/>
              <w:ind w:left="547"/>
            </w:pPr>
            <w:r>
              <w:rPr>
                <w:rFonts w:ascii="Calibri" w:hAnsi="Calibri"/>
                <w:color w:val="222222"/>
                <w:sz w:val="22"/>
              </w:rPr>
              <w:t>English: Advanced</w:t>
            </w:r>
          </w:p>
        </w:tc>
      </w:tr>
    </w:tbl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m65740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