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DD543" w14:textId="77777777" w:rsidR="000C0D40" w:rsidRDefault="000C0D40" w:rsidP="000C0D40">
      <w:pPr>
        <w:spacing w:after="80"/>
        <w:jc w:val="center"/>
      </w:pPr>
      <w:r>
        <w:rPr>
          <w:rFonts w:ascii="Arial" w:hAnsi="Arial"/>
          <w:b/>
          <w:color w:val="1B365D"/>
          <w:sz w:val="44"/>
        </w:rPr>
        <w:t>INSURANCE CLAIM TRACKING SYSTEM</w:t>
      </w:r>
    </w:p>
    <w:p w14:paraId="195B2258" w14:textId="77777777" w:rsidR="000C0D40" w:rsidRDefault="000C0D40" w:rsidP="000C0D40">
      <w:pPr>
        <w:spacing w:after="360"/>
        <w:jc w:val="center"/>
      </w:pPr>
      <w:r>
        <w:rPr>
          <w:i/>
          <w:color w:val="4A5568"/>
          <w:sz w:val="26"/>
        </w:rPr>
        <w:t>Top 10 Technical Interview Questions &amp; Model Answers Guide</w:t>
      </w:r>
    </w:p>
    <w:p w14:paraId="3ABE4516" w14:textId="77777777" w:rsidR="000C0D40" w:rsidRDefault="000C0D40" w:rsidP="000C0D40">
      <w:pPr>
        <w:spacing w:before="40" w:after="80"/>
      </w:pPr>
      <w:r>
        <w:rPr>
          <w:rFonts w:ascii="Arial" w:hAnsi="Arial"/>
          <w:b/>
          <w:color w:val="1B365D"/>
        </w:rPr>
        <w:t>Q01. Claim Lifecycle &amp; System Architecture</w:t>
      </w:r>
      <w:r>
        <w:rPr>
          <w:rFonts w:ascii="Arial" w:hAnsi="Arial"/>
          <w:b/>
          <w:color w:val="1B365D"/>
        </w:rPr>
        <w:br/>
      </w:r>
      <w:r>
        <w:rPr>
          <w:sz w:val="21"/>
        </w:rPr>
        <w:t>Can you walk us through the end-to-end architecture of your Insurance Claim Submission &amp; Tracking System? How does a claim flow from submission by the user to administrative review, verification, and final payout?</w:t>
      </w:r>
    </w:p>
    <w:p w14:paraId="7DB8FF8B" w14:textId="2DE3E462" w:rsidR="000C0D40" w:rsidRDefault="000C0D40">
      <w:pPr>
        <w:rPr>
          <w:sz w:val="20"/>
        </w:rPr>
      </w:pPr>
      <w:r>
        <w:rPr>
          <w:rFonts w:ascii="Arial" w:hAnsi="Arial"/>
          <w:b/>
          <w:color w:val="22754C"/>
          <w:sz w:val="20"/>
        </w:rPr>
        <w:t>Model Answer:</w:t>
      </w:r>
      <w:r>
        <w:rPr>
          <w:rFonts w:ascii="Arial" w:hAnsi="Arial"/>
          <w:b/>
          <w:color w:val="22754C"/>
          <w:sz w:val="20"/>
        </w:rPr>
        <w:br/>
      </w:r>
      <w:r>
        <w:rPr>
          <w:sz w:val="20"/>
        </w:rPr>
        <w:t>The system follows a standard 3-tier architecture (Client Presentation Layer, Backend RESTful API Layer, and Database/Storage Layer).</w:t>
      </w:r>
      <w:r>
        <w:rPr>
          <w:sz w:val="20"/>
        </w:rPr>
        <w:br/>
      </w:r>
      <w:r>
        <w:rPr>
          <w:sz w:val="20"/>
        </w:rPr>
        <w:br/>
        <w:t>1. Submission: The claimant fills out an interactive web form (policy details, claim type, uploaded receipts/documents) and submits it. The backend validates payload integrity, saves uploaded files to secure object storage (e.g., AWS S3), and creates a record in the database with state 'Submitted'.</w:t>
      </w:r>
      <w:r>
        <w:rPr>
          <w:sz w:val="20"/>
        </w:rPr>
        <w:br/>
        <w:t>2. Processing &amp; Verification: An automated state-machine validates active policy coverage and deductible rules. If valid, the status updates to 'Under Review' and assigns it to a Claims Adjuster dashboard via notification/queue.</w:t>
      </w:r>
      <w:r>
        <w:rPr>
          <w:sz w:val="20"/>
        </w:rPr>
        <w:br/>
        <w:t>3. Adjudication &amp; Payout: The adjuster reviews the documents, updates status to 'Approved' or 'Rejected', and inputs the payout amount. Upon approval, a webhook triggers a background payment process (or third-party payment gateway integration), transitioning the claim state to 'Paid' and dispatching an automated email/SMS confirmation to the user.</w:t>
      </w:r>
    </w:p>
    <w:p w14:paraId="742F24A1" w14:textId="4F9D379D" w:rsidR="000C0D40" w:rsidRDefault="000C0D40">
      <w:pPr>
        <w:rPr>
          <w:sz w:val="21"/>
        </w:rPr>
      </w:pPr>
      <w:r>
        <w:rPr>
          <w:rFonts w:ascii="Arial" w:hAnsi="Arial"/>
          <w:b/>
          <w:color w:val="1B365D"/>
        </w:rPr>
        <w:t>Q02. High Traffic &amp; Asynchronous Processing</w:t>
      </w:r>
      <w:r>
        <w:rPr>
          <w:rFonts w:ascii="Arial" w:hAnsi="Arial"/>
          <w:b/>
          <w:color w:val="1B365D"/>
        </w:rPr>
        <w:br/>
      </w:r>
      <w:r>
        <w:rPr>
          <w:sz w:val="21"/>
        </w:rPr>
        <w:t>How does your system handle traffic spikes or high volumes of concurrent submissions (e.g., following major regional events)? Did you implement asynchronous processing or message queues?</w:t>
      </w:r>
    </w:p>
    <w:p w14:paraId="1C3B622C" w14:textId="6135AF90" w:rsidR="000C0D40" w:rsidRDefault="000C0D40" w:rsidP="000C0D40">
      <w:pPr>
        <w:spacing w:before="40" w:after="80"/>
        <w:rPr>
          <w:sz w:val="20"/>
        </w:rPr>
      </w:pPr>
      <w:r>
        <w:rPr>
          <w:rFonts w:ascii="Arial" w:hAnsi="Arial"/>
          <w:b/>
          <w:color w:val="22754C"/>
          <w:sz w:val="20"/>
        </w:rPr>
        <w:t xml:space="preserve">Model Answer </w:t>
      </w:r>
      <w:r>
        <w:rPr>
          <w:rFonts w:ascii="Arial" w:hAnsi="Arial"/>
          <w:b/>
          <w:color w:val="22754C"/>
          <w:sz w:val="20"/>
        </w:rPr>
        <w:br/>
      </w:r>
      <w:r>
        <w:rPr>
          <w:sz w:val="20"/>
        </w:rPr>
        <w:t>To prevent HTTP server timeouts and database bottlenecks during traffic surges, I decouples heavy background tasks from the core synchronous API response path.</w:t>
      </w:r>
      <w:r>
        <w:rPr>
          <w:sz w:val="20"/>
        </w:rPr>
        <w:br/>
      </w:r>
      <w:r>
        <w:rPr>
          <w:sz w:val="20"/>
        </w:rPr>
        <w:br/>
        <w:t>• API Offloading: When a claim is submitted, the API server performs immediate light validations, persists the initial claim entity to the DB, pushes a task event to a Message Queue (e.g., RabbitMQ / Redis Streams / Kafka), and immediately returns a 202 Accepted status with a tracking ID to the user.</w:t>
      </w:r>
      <w:r>
        <w:rPr>
          <w:sz w:val="20"/>
        </w:rPr>
        <w:br/>
        <w:t>• Worker Pools: Background worker services consume messages asynchronously to handle CPU-intensive or slow operations—such as OCR text extraction from document images, virus scanning on uploaded receipts, generating PDF summaries, and sending notification emails.</w:t>
      </w:r>
      <w:r>
        <w:rPr>
          <w:sz w:val="20"/>
        </w:rPr>
        <w:br/>
        <w:t>• Scalability &amp; Caching: Static policy details and frequently requested user profile data are cached using Redis, reducing redundant database reads during surge periods.</w:t>
      </w:r>
      <w:r w:rsidRPr="000C0D40">
        <w:rPr>
          <w:sz w:val="20"/>
        </w:rPr>
        <w:t xml:space="preserve"> </w:t>
      </w:r>
      <w:r>
        <w:rPr>
          <w:sz w:val="20"/>
        </w:rPr>
        <w:t>operations—such as OCR text extraction from document images, virus scanning on uploaded receipts, generating PDF summaries, and sending notification emails.</w:t>
      </w:r>
      <w:r>
        <w:rPr>
          <w:sz w:val="20"/>
        </w:rPr>
        <w:br/>
        <w:t>• Scalability &amp; Caching: Static policy details and frequently requested user profile data are cached using Redis, reducing redundant database reads during surge periods</w:t>
      </w:r>
    </w:p>
    <w:p w14:paraId="67242022" w14:textId="77777777" w:rsidR="000C0D40" w:rsidRDefault="000C0D40" w:rsidP="000C0D40">
      <w:pPr>
        <w:spacing w:before="40" w:after="80"/>
      </w:pPr>
      <w:r>
        <w:rPr>
          <w:rFonts w:ascii="Arial" w:hAnsi="Arial"/>
          <w:b/>
          <w:color w:val="1B365D"/>
        </w:rPr>
        <w:t>Q03. Database Schema &amp; Transaction Management</w:t>
      </w:r>
      <w:r>
        <w:rPr>
          <w:rFonts w:ascii="Arial" w:hAnsi="Arial"/>
          <w:b/>
          <w:color w:val="1B365D"/>
        </w:rPr>
        <w:br/>
      </w:r>
      <w:r>
        <w:rPr>
          <w:sz w:val="21"/>
        </w:rPr>
        <w:t>How did you structure the relational schema for claims, policies, users, and payout transactions? How do you maintain strict ACID compliance and prevent race conditions when claim statuses or balances update?</w:t>
      </w:r>
    </w:p>
    <w:p w14:paraId="3B0FBD9C" w14:textId="6D3E7533" w:rsidR="000C0D40" w:rsidRDefault="000C0D40" w:rsidP="000C0D40">
      <w:pPr>
        <w:spacing w:before="40" w:after="80"/>
        <w:rPr>
          <w:sz w:val="20"/>
        </w:rPr>
      </w:pPr>
      <w:r>
        <w:rPr>
          <w:rFonts w:ascii="Arial" w:hAnsi="Arial"/>
          <w:b/>
          <w:color w:val="22754C"/>
          <w:sz w:val="20"/>
        </w:rPr>
        <w:lastRenderedPageBreak/>
        <w:t>Model Answer:</w:t>
      </w:r>
      <w:r>
        <w:rPr>
          <w:rFonts w:ascii="Arial" w:hAnsi="Arial"/>
          <w:b/>
          <w:color w:val="22754C"/>
          <w:sz w:val="20"/>
        </w:rPr>
        <w:br/>
      </w:r>
      <w:r>
        <w:rPr>
          <w:sz w:val="20"/>
        </w:rPr>
        <w:t>The relational database (RDBMS) is structured with normalized tables: Users, Policies, Claims, Claim_Documents, Claim_History, and Payout_Transactions, enforcing primary/foreign key constraints.</w:t>
      </w:r>
      <w:r>
        <w:rPr>
          <w:sz w:val="20"/>
        </w:rPr>
        <w:br/>
      </w:r>
      <w:r>
        <w:rPr>
          <w:sz w:val="20"/>
        </w:rPr>
        <w:br/>
        <w:t>• ACID &amp; Transactions: Critical state-change operations (such as approving a claim and deducting from the policy's annual limit) are wrapped inside explicit Database Transactions (@Transactional / BEGIN...COMMIT). If any step fails, the entire transaction rolls back cleanly.</w:t>
      </w:r>
      <w:r>
        <w:rPr>
          <w:sz w:val="20"/>
        </w:rPr>
        <w:br/>
        <w:t>• Concurrency Control: To prevent race conditions (e.g., two admins approving the same claim concurrently or double-payouts), I implemented Optimistic Locking using a version column on the Claims table, or Pessimistic Row Locking (SELECT ... FOR UPDATE) during the exact moment payout calculation occurs</w:t>
      </w:r>
    </w:p>
    <w:p w14:paraId="5D4FFEEC" w14:textId="2823B6AB" w:rsidR="000C0D40" w:rsidRDefault="000C0D40" w:rsidP="000C0D40">
      <w:pPr>
        <w:spacing w:before="40" w:after="80"/>
        <w:rPr>
          <w:sz w:val="21"/>
        </w:rPr>
      </w:pPr>
      <w:r>
        <w:rPr>
          <w:rFonts w:ascii="Arial" w:hAnsi="Arial"/>
          <w:b/>
          <w:color w:val="1B365D"/>
        </w:rPr>
        <w:t>Q04. Audit Logging &amp; Historical Tracking</w:t>
      </w:r>
      <w:r>
        <w:rPr>
          <w:rFonts w:ascii="Arial" w:hAnsi="Arial"/>
          <w:b/>
          <w:color w:val="1B365D"/>
        </w:rPr>
        <w:br/>
      </w:r>
      <w:r>
        <w:rPr>
          <w:sz w:val="21"/>
        </w:rPr>
        <w:t>Financial and insurance systems require strict compliance. How did you implement an audit trail to log every status change, update, and action taken on a claim?</w:t>
      </w:r>
    </w:p>
    <w:p w14:paraId="305DF8F9" w14:textId="3D38DC3E" w:rsidR="000C0D40" w:rsidRDefault="000C0D40" w:rsidP="000C0D40">
      <w:pPr>
        <w:spacing w:before="40" w:after="80"/>
      </w:pPr>
      <w:r>
        <w:rPr>
          <w:rFonts w:ascii="Arial" w:hAnsi="Arial"/>
          <w:b/>
          <w:color w:val="22754C"/>
          <w:sz w:val="20"/>
        </w:rPr>
        <w:t xml:space="preserve">Model Answer </w:t>
      </w:r>
      <w:r>
        <w:rPr>
          <w:rFonts w:ascii="Arial" w:hAnsi="Arial"/>
          <w:b/>
          <w:color w:val="22754C"/>
          <w:sz w:val="20"/>
        </w:rPr>
        <w:br/>
      </w:r>
      <w:r>
        <w:rPr>
          <w:sz w:val="20"/>
        </w:rPr>
        <w:t>Audit logging is implemented using an immutable Claim_History (Audit Trail) table that acts as a append-only log.</w:t>
      </w:r>
      <w:r>
        <w:rPr>
          <w:sz w:val="20"/>
        </w:rPr>
        <w:br/>
      </w:r>
      <w:r>
        <w:rPr>
          <w:sz w:val="20"/>
        </w:rPr>
        <w:br/>
        <w:t>• Execution: Every time a claim state changes (e.g., from 'Under Review' to 'Approved'), an application-level middleware/interceptor (or Database Trigger) automatically inserts a record into Claim_History detailing: Claim_ID, Old_Status, New_Status, Changed_By_User_ID, Timestamp, and Change_Reason/Notes.</w:t>
      </w:r>
      <w:r>
        <w:rPr>
          <w:sz w:val="20"/>
        </w:rPr>
        <w:br/>
        <w:t>• Security &amp; Immutability: The audit log table grants INSERT and SELECT permissions only; UPDATE and DELETE privileges are strictly revoked across all application roles to guarantee tamper-proof audit trails for compliance</w:t>
      </w:r>
    </w:p>
    <w:p w14:paraId="6F98FA12" w14:textId="1C4F662A" w:rsidR="000C0D40" w:rsidRDefault="000C0D40">
      <w:pPr>
        <w:rPr>
          <w:sz w:val="21"/>
        </w:rPr>
      </w:pPr>
      <w:r>
        <w:rPr>
          <w:rFonts w:ascii="Arial" w:hAnsi="Arial"/>
          <w:b/>
          <w:color w:val="1B365D"/>
        </w:rPr>
        <w:t>Q05. Data Protection &amp; Role-Based Access Control (RBAC)</w:t>
      </w:r>
      <w:r>
        <w:rPr>
          <w:rFonts w:ascii="Arial" w:hAnsi="Arial"/>
          <w:b/>
          <w:color w:val="1B365D"/>
        </w:rPr>
        <w:br/>
      </w:r>
      <w:r>
        <w:rPr>
          <w:sz w:val="21"/>
        </w:rPr>
        <w:t>Insurance claims contain sensitive personal and medical/financial records. How did you secure sensitive data both at rest and in transit, and how is Role-Based Access Control (RBAC) enforced?</w:t>
      </w:r>
    </w:p>
    <w:p w14:paraId="6C069598" w14:textId="017E92EE" w:rsidR="000C0D40" w:rsidRDefault="000C0D40">
      <w:pPr>
        <w:rPr>
          <w:sz w:val="20"/>
        </w:rPr>
      </w:pPr>
      <w:r>
        <w:rPr>
          <w:rFonts w:ascii="Arial" w:hAnsi="Arial"/>
          <w:b/>
          <w:color w:val="22754C"/>
          <w:sz w:val="20"/>
        </w:rPr>
        <w:t>Model Answer</w:t>
      </w:r>
      <w:r>
        <w:rPr>
          <w:rFonts w:ascii="Arial" w:hAnsi="Arial"/>
          <w:b/>
          <w:color w:val="22754C"/>
          <w:sz w:val="20"/>
        </w:rPr>
        <w:br/>
      </w:r>
      <w:r>
        <w:rPr>
          <w:sz w:val="20"/>
        </w:rPr>
        <w:t>Data protection is enforced across multiple layers:</w:t>
      </w:r>
      <w:r>
        <w:rPr>
          <w:sz w:val="20"/>
        </w:rPr>
        <w:br/>
      </w:r>
      <w:r>
        <w:rPr>
          <w:sz w:val="20"/>
        </w:rPr>
        <w:br/>
        <w:t>• Data in Transit: All communication uses TLS/HTTPS (SSL) with strict HSTS policies.</w:t>
      </w:r>
      <w:r>
        <w:rPr>
          <w:sz w:val="20"/>
        </w:rPr>
        <w:br/>
        <w:t>• Data at Rest: Sensitive database columns (e.g., national ID, bank account numbers) are encrypted using AES-256 encryption. Uploaded documents stored in object storage are encrypted server-side (SSE-S3/KMS) and served via short-lived pre-signed URLs.</w:t>
      </w:r>
      <w:r>
        <w:rPr>
          <w:sz w:val="20"/>
        </w:rPr>
        <w:br/>
        <w:t>• RBAC &amp; Authorization: Authentication uses JWT (JSON Web Tokens) or OAuth2 with secure HTTP-only cookies. Authorization is enforced via Granular Role-Based Access Control (RBAC)—Policyholders can only read/create their own claims; Claims Adjusters can inspect assigned claims; Admins have full workflow privileges. Ownership validation checks (e.g., verifying `</w:t>
      </w:r>
      <w:proofErr w:type="gramStart"/>
      <w:r>
        <w:rPr>
          <w:sz w:val="20"/>
        </w:rPr>
        <w:t>claim.userId</w:t>
      </w:r>
      <w:proofErr w:type="gramEnd"/>
      <w:r>
        <w:rPr>
          <w:sz w:val="20"/>
        </w:rPr>
        <w:t xml:space="preserve"> == authenticatedUser.id`) run on every API route to prevent IDOR (Insecure Direct Object Reference) vulnerabilities.</w:t>
      </w:r>
    </w:p>
    <w:p w14:paraId="6DDC7219" w14:textId="3D121401" w:rsidR="000C0D40" w:rsidRDefault="000C0D40">
      <w:pPr>
        <w:rPr>
          <w:sz w:val="21"/>
        </w:rPr>
      </w:pPr>
      <w:r>
        <w:rPr>
          <w:rFonts w:ascii="Arial" w:hAnsi="Arial"/>
          <w:b/>
          <w:color w:val="1B365D"/>
        </w:rPr>
        <w:t>Q06. Fraud Detection Integration</w:t>
      </w:r>
      <w:r>
        <w:rPr>
          <w:rFonts w:ascii="Arial" w:hAnsi="Arial"/>
          <w:b/>
          <w:color w:val="1B365D"/>
        </w:rPr>
        <w:br/>
      </w:r>
      <w:r>
        <w:rPr>
          <w:sz w:val="21"/>
        </w:rPr>
        <w:t>Did you integrate any automated rules engine or anomaly detection mechanism to flag suspicious claims? How would you design one?</w:t>
      </w:r>
    </w:p>
    <w:p w14:paraId="19478573" w14:textId="0448EBCF" w:rsidR="000C0D40" w:rsidRDefault="000C0D40">
      <w:pPr>
        <w:rPr>
          <w:sz w:val="20"/>
        </w:rPr>
      </w:pPr>
      <w:r>
        <w:rPr>
          <w:rFonts w:ascii="Arial" w:hAnsi="Arial"/>
          <w:b/>
          <w:color w:val="22754C"/>
          <w:sz w:val="20"/>
        </w:rPr>
        <w:t xml:space="preserve">Model Answer </w:t>
      </w:r>
      <w:r>
        <w:rPr>
          <w:rFonts w:ascii="Arial" w:hAnsi="Arial"/>
          <w:b/>
          <w:color w:val="22754C"/>
          <w:sz w:val="20"/>
        </w:rPr>
        <w:br/>
      </w:r>
      <w:r>
        <w:rPr>
          <w:sz w:val="20"/>
        </w:rPr>
        <w:t>An automated Risk-Scoring Rules Engine runs asynchronously during initial claim processing:</w:t>
      </w:r>
      <w:r>
        <w:rPr>
          <w:sz w:val="20"/>
        </w:rPr>
        <w:br/>
      </w:r>
      <w:r>
        <w:rPr>
          <w:sz w:val="20"/>
        </w:rPr>
        <w:br/>
        <w:t xml:space="preserve">• Rule Checks: The engine evaluates specific criteria, such as: (1) Duplicate claims (same incident date/amount </w:t>
      </w:r>
      <w:r>
        <w:rPr>
          <w:sz w:val="20"/>
        </w:rPr>
        <w:lastRenderedPageBreak/>
        <w:t>submitted twice), (2) Claims submitted within 48 hours of policy creation, (3) Claim amount exceeding 80% of total policy limit, or (4) High frequency of claims within a short timeframe.</w:t>
      </w:r>
      <w:r>
        <w:rPr>
          <w:sz w:val="20"/>
        </w:rPr>
        <w:br/>
        <w:t>• Workflow Action: Each flag adds points to a 'Risk Score'. If the score exceeds a predefined threshold, the system automatically tags the claim as 'Flagged for Fraud Review' and routes it directly to a Senior Fraud Investigator dashboard instead of standard processing.</w:t>
      </w:r>
    </w:p>
    <w:p w14:paraId="00E9C493" w14:textId="7A519336" w:rsidR="000C0D40" w:rsidRDefault="000C0D40">
      <w:pPr>
        <w:rPr>
          <w:sz w:val="21"/>
        </w:rPr>
      </w:pPr>
      <w:r>
        <w:rPr>
          <w:rFonts w:ascii="Arial" w:hAnsi="Arial"/>
          <w:b/>
          <w:color w:val="1B365D"/>
        </w:rPr>
        <w:t>Q07. Third-Party Integrations &amp; Fault Tolerance</w:t>
      </w:r>
      <w:r>
        <w:rPr>
          <w:rFonts w:ascii="Arial" w:hAnsi="Arial"/>
          <w:b/>
          <w:color w:val="1B365D"/>
        </w:rPr>
        <w:br/>
      </w:r>
      <w:r>
        <w:rPr>
          <w:sz w:val="21"/>
        </w:rPr>
        <w:t>Did your system integrate with third-party APIs (e.g., payment gateways, document verification, email services)?</w:t>
      </w:r>
    </w:p>
    <w:p w14:paraId="6701638F" w14:textId="5931E75F" w:rsidR="000C0D40" w:rsidRDefault="000C0D40">
      <w:pPr>
        <w:rPr>
          <w:sz w:val="52"/>
          <w:szCs w:val="52"/>
        </w:rPr>
      </w:pPr>
      <w:r>
        <w:rPr>
          <w:rFonts w:ascii="Arial" w:hAnsi="Arial"/>
          <w:b/>
          <w:color w:val="22754C"/>
          <w:sz w:val="20"/>
        </w:rPr>
        <w:t xml:space="preserve">Model Answer </w:t>
      </w:r>
      <w:r>
        <w:rPr>
          <w:rFonts w:ascii="Arial" w:hAnsi="Arial"/>
          <w:b/>
          <w:color w:val="22754C"/>
          <w:sz w:val="20"/>
        </w:rPr>
        <w:br/>
      </w:r>
      <w:r>
        <w:rPr>
          <w:sz w:val="20"/>
        </w:rPr>
        <w:t>Integrations with external services (like Stripe/PayPal for payouts or SendGrid for notifications) are isolated behind Abstraction Interfaces to prevent tight coupling.</w:t>
      </w:r>
      <w:r>
        <w:rPr>
          <w:sz w:val="20"/>
        </w:rPr>
        <w:br/>
      </w:r>
      <w:r>
        <w:rPr>
          <w:sz w:val="20"/>
        </w:rPr>
        <w:br/>
        <w:t>• Fault Tolerance: I implemented the Circuit Breaker pattern (using Resilience4j or Polly) alongside Exponential Backoff Retries. If an external payment gateway fails repeatedly, the circuit opens, preventing system thread exhaustion and gracefully queuing the payout transaction for automated retry once the service recovers.</w:t>
      </w:r>
      <w:r>
        <w:rPr>
          <w:sz w:val="20"/>
        </w:rPr>
        <w:br/>
        <w:t>• Idempotency: All outgoing financial requests include an Idempotency-Key in API headers so that retried requests due to network timeouts never result in double payouts.</w:t>
      </w:r>
    </w:p>
    <w:p w14:paraId="3EBB3F53" w14:textId="77777777" w:rsidR="000C0D40" w:rsidRDefault="000C0D40">
      <w:pPr>
        <w:spacing w:after="160" w:line="278" w:lineRule="auto"/>
        <w:rPr>
          <w:sz w:val="21"/>
        </w:rPr>
      </w:pPr>
      <w:r>
        <w:rPr>
          <w:rFonts w:ascii="Arial" w:hAnsi="Arial"/>
          <w:b/>
          <w:color w:val="1B365D"/>
        </w:rPr>
        <w:t>Q08. Business Logic Testing &amp; Financial Accuracy</w:t>
      </w:r>
      <w:r>
        <w:rPr>
          <w:rFonts w:ascii="Arial" w:hAnsi="Arial"/>
          <w:b/>
          <w:color w:val="1B365D"/>
        </w:rPr>
        <w:br/>
      </w:r>
      <w:r>
        <w:rPr>
          <w:sz w:val="21"/>
        </w:rPr>
        <w:t>How did you test complex business rules, such as deductible calculations, claim limit validations, and payout math? What testing methodologies did you prioritize?</w:t>
      </w:r>
    </w:p>
    <w:p w14:paraId="1AB2B58B" w14:textId="60C0111C" w:rsidR="000C0D40" w:rsidRDefault="000C0D40" w:rsidP="000C0D40">
      <w:pPr>
        <w:spacing w:after="160" w:line="278" w:lineRule="auto"/>
        <w:rPr>
          <w:sz w:val="52"/>
          <w:szCs w:val="52"/>
        </w:rPr>
      </w:pPr>
      <w:r>
        <w:rPr>
          <w:rFonts w:ascii="Arial" w:hAnsi="Arial"/>
          <w:b/>
          <w:color w:val="22754C"/>
          <w:sz w:val="20"/>
        </w:rPr>
        <w:t xml:space="preserve">Model Answer </w:t>
      </w:r>
      <w:r>
        <w:rPr>
          <w:rFonts w:ascii="Arial" w:hAnsi="Arial"/>
          <w:b/>
          <w:color w:val="22754C"/>
          <w:sz w:val="20"/>
        </w:rPr>
        <w:br/>
      </w:r>
      <w:r>
        <w:rPr>
          <w:sz w:val="20"/>
        </w:rPr>
        <w:t>Software quality is maintained through a multi-tiered testing strategy:</w:t>
      </w:r>
      <w:r>
        <w:rPr>
          <w:sz w:val="20"/>
        </w:rPr>
        <w:br/>
      </w:r>
      <w:r>
        <w:rPr>
          <w:sz w:val="20"/>
        </w:rPr>
        <w:br/>
        <w:t>• Unit Testing (High Coverage): Focused heavily on core business domain logic (calculators, deductible rules, coverage limits). Using frameworks like JUnit/PyTest/NUnit, edge cases (e.g., zero claims, negative numbers, claim amounts exactly matching policy limits) are thoroughly covered.</w:t>
      </w:r>
      <w:r>
        <w:rPr>
          <w:sz w:val="20"/>
        </w:rPr>
        <w:br/>
        <w:t>• Integration Testing: Uses lightweight containerized databases (Testcontainers) to test actual SQL queries, transaction rollbacks, and repository layers without mocking DB interactions.</w:t>
      </w:r>
      <w:r>
        <w:rPr>
          <w:sz w:val="20"/>
        </w:rPr>
        <w:br/>
        <w:t>• E2E &amp; Mocking: API endpoints are tested using MockServer/WireMock to simulate external third-party API successes, failures, and timeouts.</w:t>
      </w:r>
    </w:p>
    <w:p w14:paraId="6EEA4583" w14:textId="1D0B8F6C" w:rsidR="000C0D40" w:rsidRDefault="000C0D40" w:rsidP="000C0D40">
      <w:pPr>
        <w:spacing w:after="160" w:line="278" w:lineRule="auto"/>
        <w:rPr>
          <w:sz w:val="21"/>
        </w:rPr>
      </w:pPr>
      <w:r>
        <w:rPr>
          <w:rFonts w:ascii="Arial" w:hAnsi="Arial"/>
          <w:b/>
          <w:color w:val="1B365D"/>
        </w:rPr>
        <w:t>Q09. Query Optimization &amp; Caching Strategy</w:t>
      </w:r>
      <w:r>
        <w:rPr>
          <w:rFonts w:ascii="Arial" w:hAnsi="Arial"/>
          <w:b/>
          <w:color w:val="1B365D"/>
        </w:rPr>
        <w:br/>
      </w:r>
      <w:r>
        <w:rPr>
          <w:sz w:val="21"/>
        </w:rPr>
        <w:t>If generating monthly analytical claim reports or searching through historical claims becomes slow due to high database volume, how would you diagnose and resolve the performance bottleneck</w:t>
      </w:r>
      <w:r>
        <w:rPr>
          <w:sz w:val="21"/>
        </w:rPr>
        <w:t>?</w:t>
      </w:r>
    </w:p>
    <w:p w14:paraId="46E6ACA2" w14:textId="3EC09A90" w:rsidR="000C0D40" w:rsidRDefault="000C0D40" w:rsidP="000C0D40">
      <w:pPr>
        <w:spacing w:after="160" w:line="278" w:lineRule="auto"/>
        <w:rPr>
          <w:sz w:val="20"/>
        </w:rPr>
      </w:pPr>
      <w:r>
        <w:rPr>
          <w:rFonts w:ascii="Arial" w:hAnsi="Arial"/>
          <w:b/>
          <w:color w:val="22754C"/>
          <w:sz w:val="20"/>
        </w:rPr>
        <w:t xml:space="preserve">Model Answer </w:t>
      </w:r>
      <w:r>
        <w:rPr>
          <w:rFonts w:ascii="Arial" w:hAnsi="Arial"/>
          <w:b/>
          <w:color w:val="22754C"/>
          <w:sz w:val="20"/>
        </w:rPr>
        <w:br/>
      </w:r>
      <w:r>
        <w:rPr>
          <w:sz w:val="20"/>
        </w:rPr>
        <w:t>Performance bottlenecks are diagnosed and resolved systematically:</w:t>
      </w:r>
      <w:r>
        <w:rPr>
          <w:sz w:val="20"/>
        </w:rPr>
        <w:br/>
      </w:r>
      <w:r>
        <w:rPr>
          <w:sz w:val="20"/>
        </w:rPr>
        <w:br/>
        <w:t>• Profiling &amp; Diagnosis: Use database execution plan tools (EXPLAIN ANALYZE in PostgreSQL/MySQL) and APM tools (e.g., Datadog, New Relic) to identify slow-running queries and full table scans.</w:t>
      </w:r>
      <w:r>
        <w:rPr>
          <w:sz w:val="20"/>
        </w:rPr>
        <w:br/>
        <w:t>• Optimization: (1) Add composite indexes on frequently filtered/sorted columns (e.g., `user_id`, `status`, `created_at`), (2) Optimize SQL queries by avoiding `SELECT *` and replacing expensive subqueries with JOINs, (3) Implement Read Replicas to offload reporting and analytical queries away from the primary write database, (4) Use Redis caching for static dashboard analytics with short TTLs.</w:t>
      </w:r>
    </w:p>
    <w:p w14:paraId="6CE54B97" w14:textId="03D635FF" w:rsidR="000C0D40" w:rsidRDefault="000C0D40" w:rsidP="000C0D40">
      <w:pPr>
        <w:spacing w:after="160" w:line="278" w:lineRule="auto"/>
        <w:rPr>
          <w:sz w:val="21"/>
        </w:rPr>
      </w:pPr>
      <w:r>
        <w:rPr>
          <w:rFonts w:ascii="Arial" w:hAnsi="Arial"/>
          <w:b/>
          <w:color w:val="1B365D"/>
        </w:rPr>
        <w:lastRenderedPageBreak/>
        <w:t>Q10. Technical Challenge &amp; Engineering Trade-offs</w:t>
      </w:r>
      <w:r>
        <w:rPr>
          <w:rFonts w:ascii="Arial" w:hAnsi="Arial"/>
          <w:b/>
          <w:color w:val="1B365D"/>
        </w:rPr>
        <w:br/>
      </w:r>
      <w:r>
        <w:rPr>
          <w:sz w:val="21"/>
        </w:rPr>
        <w:t>What was the most significant technical challenge you faced while building this system, what trade-offs did you consider, and how did you resolve it?</w:t>
      </w:r>
    </w:p>
    <w:p w14:paraId="1A71DEC8" w14:textId="55C407F7" w:rsidR="000C0D40" w:rsidRDefault="000C0D40" w:rsidP="000C0D40">
      <w:pPr>
        <w:spacing w:after="160" w:line="278" w:lineRule="auto"/>
        <w:rPr>
          <w:sz w:val="52"/>
          <w:szCs w:val="52"/>
        </w:rPr>
      </w:pPr>
      <w:r>
        <w:rPr>
          <w:rFonts w:ascii="Arial" w:hAnsi="Arial"/>
          <w:b/>
          <w:color w:val="22754C"/>
          <w:sz w:val="20"/>
        </w:rPr>
        <w:t>Model Answe</w:t>
      </w:r>
      <w:r>
        <w:rPr>
          <w:rFonts w:ascii="Arial" w:hAnsi="Arial"/>
          <w:b/>
          <w:color w:val="22754C"/>
          <w:sz w:val="20"/>
        </w:rPr>
        <w:t>r</w:t>
      </w:r>
      <w:r>
        <w:rPr>
          <w:rFonts w:ascii="Arial" w:hAnsi="Arial"/>
          <w:b/>
          <w:color w:val="22754C"/>
          <w:sz w:val="20"/>
        </w:rPr>
        <w:br/>
      </w:r>
      <w:r>
        <w:rPr>
          <w:sz w:val="20"/>
        </w:rPr>
        <w:t>The biggest challenge was managing multi-file receipt/document uploads without causing server lag or memory spikes during peak user activity.</w:t>
      </w:r>
      <w:r>
        <w:rPr>
          <w:sz w:val="20"/>
        </w:rPr>
        <w:br/>
      </w:r>
      <w:r>
        <w:rPr>
          <w:sz w:val="20"/>
        </w:rPr>
        <w:br/>
        <w:t>• The Trade-off: Routing large binary file uploads directly through our backend REST API server consumed excessive network bandwidth and RAM, limiting system throughput.</w:t>
      </w:r>
      <w:r>
        <w:rPr>
          <w:sz w:val="20"/>
        </w:rPr>
        <w:br/>
        <w:t>• Solution: I re-architected the upload flow to use Direct S3 Signed URLs. When a user selects documents, the frontend requests a short-lived pre-signed URL from our API. The client then uploads the files directly from the browser to S3 storage. Once finished, a lightweight webhook notifies our backend to link the file metadata to the claim record. This drastically reduced backend memory usage and accelerated upload response times.</w:t>
      </w:r>
    </w:p>
    <w:p w14:paraId="6E5AD430" w14:textId="0113E21D" w:rsidR="000C0D40" w:rsidRPr="000C0D40" w:rsidRDefault="000C0D40">
      <w:pPr>
        <w:rPr>
          <w:sz w:val="52"/>
          <w:szCs w:val="52"/>
        </w:rPr>
      </w:pPr>
    </w:p>
    <w:p w14:paraId="2091DA1D" w14:textId="77777777" w:rsidR="000C0D40" w:rsidRPr="000C0D40" w:rsidRDefault="000C0D40">
      <w:pPr>
        <w:rPr>
          <w:sz w:val="52"/>
          <w:szCs w:val="52"/>
        </w:rPr>
      </w:pPr>
    </w:p>
    <w:sectPr w:rsidR="000C0D40" w:rsidRPr="000C0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7ACE" w14:textId="77777777" w:rsidR="008C72EE" w:rsidRDefault="008C72EE" w:rsidP="000C0D40">
      <w:pPr>
        <w:spacing w:after="0" w:line="240" w:lineRule="auto"/>
      </w:pPr>
      <w:r>
        <w:separator/>
      </w:r>
    </w:p>
  </w:endnote>
  <w:endnote w:type="continuationSeparator" w:id="0">
    <w:p w14:paraId="76D52C9E" w14:textId="77777777" w:rsidR="008C72EE" w:rsidRDefault="008C72EE" w:rsidP="000C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3D88B" w14:textId="77777777" w:rsidR="008C72EE" w:rsidRDefault="008C72EE" w:rsidP="000C0D40">
      <w:pPr>
        <w:spacing w:after="0" w:line="240" w:lineRule="auto"/>
      </w:pPr>
      <w:r>
        <w:separator/>
      </w:r>
    </w:p>
  </w:footnote>
  <w:footnote w:type="continuationSeparator" w:id="0">
    <w:p w14:paraId="7A7724A6" w14:textId="77777777" w:rsidR="008C72EE" w:rsidRDefault="008C72EE" w:rsidP="000C0D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D40"/>
    <w:rsid w:val="000C0D40"/>
    <w:rsid w:val="00880AEF"/>
    <w:rsid w:val="008C72EE"/>
    <w:rsid w:val="00CE3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BC3E"/>
  <w15:chartTrackingRefBased/>
  <w15:docId w15:val="{10002CDD-C254-4FC4-8616-D0E218BB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D40"/>
    <w:pPr>
      <w:spacing w:after="200" w:line="276" w:lineRule="auto"/>
    </w:pPr>
    <w:rPr>
      <w:rFonts w:ascii="Calibri" w:eastAsiaTheme="minorEastAsia" w:hAnsi="Calibri"/>
      <w:color w:val="2D3748"/>
      <w:kern w:val="0"/>
      <w:sz w:val="22"/>
      <w:szCs w:val="22"/>
      <w14:ligatures w14:val="none"/>
    </w:rPr>
  </w:style>
  <w:style w:type="paragraph" w:styleId="Heading1">
    <w:name w:val="heading 1"/>
    <w:basedOn w:val="Normal"/>
    <w:next w:val="Normal"/>
    <w:link w:val="Heading1Char"/>
    <w:uiPriority w:val="9"/>
    <w:qFormat/>
    <w:rsid w:val="000C0D4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0D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0D4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0D4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C0D4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C0D4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0D4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0D4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0D4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40"/>
    <w:rPr>
      <w:rFonts w:eastAsiaTheme="majorEastAsia" w:cstheme="majorBidi"/>
      <w:color w:val="272727" w:themeColor="text1" w:themeTint="D8"/>
    </w:rPr>
  </w:style>
  <w:style w:type="paragraph" w:styleId="Title">
    <w:name w:val="Title"/>
    <w:basedOn w:val="Normal"/>
    <w:next w:val="Normal"/>
    <w:link w:val="TitleChar"/>
    <w:uiPriority w:val="10"/>
    <w:qFormat/>
    <w:rsid w:val="000C0D40"/>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C0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D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0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D40"/>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0D40"/>
    <w:rPr>
      <w:i/>
      <w:iCs/>
      <w:color w:val="404040" w:themeColor="text1" w:themeTint="BF"/>
    </w:rPr>
  </w:style>
  <w:style w:type="paragraph" w:styleId="ListParagraph">
    <w:name w:val="List Paragraph"/>
    <w:basedOn w:val="Normal"/>
    <w:uiPriority w:val="34"/>
    <w:qFormat/>
    <w:rsid w:val="000C0D40"/>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0C0D40"/>
    <w:rPr>
      <w:i/>
      <w:iCs/>
      <w:color w:val="0F4761" w:themeColor="accent1" w:themeShade="BF"/>
    </w:rPr>
  </w:style>
  <w:style w:type="paragraph" w:styleId="IntenseQuote">
    <w:name w:val="Intense Quote"/>
    <w:basedOn w:val="Normal"/>
    <w:next w:val="Normal"/>
    <w:link w:val="IntenseQuoteChar"/>
    <w:uiPriority w:val="30"/>
    <w:qFormat/>
    <w:rsid w:val="000C0D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0D40"/>
    <w:rPr>
      <w:i/>
      <w:iCs/>
      <w:color w:val="0F4761" w:themeColor="accent1" w:themeShade="BF"/>
    </w:rPr>
  </w:style>
  <w:style w:type="character" w:styleId="IntenseReference">
    <w:name w:val="Intense Reference"/>
    <w:basedOn w:val="DefaultParagraphFont"/>
    <w:uiPriority w:val="32"/>
    <w:qFormat/>
    <w:rsid w:val="000C0D40"/>
    <w:rPr>
      <w:b/>
      <w:bCs/>
      <w:smallCaps/>
      <w:color w:val="0F4761" w:themeColor="accent1" w:themeShade="BF"/>
      <w:spacing w:val="5"/>
    </w:rPr>
  </w:style>
  <w:style w:type="paragraph" w:styleId="Header">
    <w:name w:val="header"/>
    <w:basedOn w:val="Normal"/>
    <w:link w:val="HeaderChar"/>
    <w:uiPriority w:val="99"/>
    <w:unhideWhenUsed/>
    <w:rsid w:val="000C0D40"/>
    <w:pPr>
      <w:tabs>
        <w:tab w:val="center" w:pos="4680"/>
        <w:tab w:val="right" w:pos="9360"/>
      </w:tabs>
      <w:spacing w:after="0" w:line="240" w:lineRule="auto"/>
    </w:pPr>
    <w:rPr>
      <w:rFonts w:asciiTheme="minorHAnsi" w:eastAsiaTheme="minorHAnsi" w:hAnsiTheme="minorHAnsi"/>
      <w:color w:val="auto"/>
      <w:kern w:val="2"/>
      <w:sz w:val="24"/>
      <w:szCs w:val="24"/>
      <w14:ligatures w14:val="standardContextual"/>
    </w:rPr>
  </w:style>
  <w:style w:type="character" w:customStyle="1" w:styleId="HeaderChar">
    <w:name w:val="Header Char"/>
    <w:basedOn w:val="DefaultParagraphFont"/>
    <w:link w:val="Header"/>
    <w:uiPriority w:val="99"/>
    <w:rsid w:val="000C0D40"/>
  </w:style>
  <w:style w:type="paragraph" w:styleId="Footer">
    <w:name w:val="footer"/>
    <w:basedOn w:val="Normal"/>
    <w:link w:val="FooterChar"/>
    <w:uiPriority w:val="99"/>
    <w:unhideWhenUsed/>
    <w:rsid w:val="000C0D40"/>
    <w:pPr>
      <w:tabs>
        <w:tab w:val="center" w:pos="4680"/>
        <w:tab w:val="right" w:pos="9360"/>
      </w:tabs>
      <w:spacing w:after="0" w:line="240" w:lineRule="auto"/>
    </w:pPr>
    <w:rPr>
      <w:rFonts w:asciiTheme="minorHAnsi" w:eastAsiaTheme="minorHAnsi" w:hAnsiTheme="minorHAnsi"/>
      <w:color w:val="auto"/>
      <w:kern w:val="2"/>
      <w:sz w:val="24"/>
      <w:szCs w:val="24"/>
      <w14:ligatures w14:val="standardContextual"/>
    </w:rPr>
  </w:style>
  <w:style w:type="character" w:customStyle="1" w:styleId="FooterChar">
    <w:name w:val="Footer Char"/>
    <w:basedOn w:val="DefaultParagraphFont"/>
    <w:link w:val="Footer"/>
    <w:uiPriority w:val="99"/>
    <w:rsid w:val="000C0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Katatou</dc:creator>
  <cp:keywords/>
  <dc:description/>
  <cp:lastModifiedBy>Mahmoud Katatou</cp:lastModifiedBy>
  <cp:revision>2</cp:revision>
  <dcterms:created xsi:type="dcterms:W3CDTF">2026-10-27T15:57:00Z</dcterms:created>
  <dcterms:modified xsi:type="dcterms:W3CDTF">2026-10-27T16:05:00Z</dcterms:modified>
</cp:coreProperties>
</file>