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Site Meeting No. 7</w:t>
      </w:r>
    </w:p>
    <w:p>
      <w:r>
        <w:t>Attendees: Client representative, Main Contractor, MEP Subcontractor.</w:t>
      </w:r>
    </w:p>
    <w:p>
      <w:r>
        <w:t>The contractor reported that slab casting for Level 3 is complete.</w:t>
      </w:r>
    </w:p>
    <w:p>
      <w:r>
        <w:br w:type="page"/>
      </w:r>
    </w:p>
    <w:p>
      <w:pPr>
        <w:pStyle w:val="Heading2"/>
      </w:pPr>
      <w:r>
        <w:t>Action items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Submit revised shop drawings for ducts</w:t>
            </w:r>
          </w:p>
        </w:tc>
        <w:tc>
          <w:tcPr>
            <w:tcW w:type="dxa" w:w="2880"/>
          </w:tcPr>
          <w:p>
            <w:r>
              <w:t>MEP Subcontractor</w:t>
            </w:r>
          </w:p>
        </w:tc>
        <w:tc>
          <w:tcPr>
            <w:tcW w:type="dxa" w:w="2880"/>
          </w:tcPr>
          <w:p>
            <w:r>
              <w:t>Open</w:t>
            </w:r>
          </w:p>
        </w:tc>
      </w:tr>
      <w:tr>
        <w:tc>
          <w:tcPr>
            <w:tcW w:type="dxa" w:w="2880"/>
          </w:tcPr>
          <w:p>
            <w:r>
              <w:t>Approve facade mock-up</w:t>
            </w:r>
          </w:p>
        </w:tc>
        <w:tc>
          <w:tcPr>
            <w:tcW w:type="dxa" w:w="2880"/>
          </w:tcPr>
          <w:p>
            <w:r>
              <w:t>Client representative</w:t>
            </w:r>
          </w:p>
        </w:tc>
        <w:tc>
          <w:tcPr>
            <w:tcW w:type="dxa" w:w="2880"/>
          </w:tcPr>
          <w:p>
            <w:r>
              <w:t>Closed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