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RF Optimization Analysis Report</w:t>
      </w:r>
    </w:p>
    <w:p>
      <w:r>
        <w:t>Generated: 2026-07-05 19:08:11</w:t>
      </w:r>
    </w:p>
    <w:p>
      <w:r>
        <w:t>Developed by: Musketeers_Team (ITI Graduation Project 2026)</w:t>
      </w:r>
    </w:p>
    <w:p>
      <w:r>
        <w:t>Version: 2.0 Enhanced</w:t>
      </w:r>
    </w:p>
    <w:p>
      <w:pPr>
        <w:pStyle w:val="Heading1"/>
      </w:pPr>
      <w:r>
        <w:t>Analysis Summary</w:t>
      </w:r>
    </w:p>
    <w:p>
      <w:r>
        <w:t>Analysis Mode: All KPIs Analysis</w:t>
      </w:r>
    </w:p>
    <w:p>
      <w:r>
        <w:t>Baseline Mode: last_week</w:t>
      </w:r>
    </w:p>
    <w:p>
      <w:r>
        <w:t>Significance Test: Enabled</w:t>
      </w:r>
    </w:p>
    <w:p>
      <w:r>
        <w:t>Total KPIs Analyzed: 13</w:t>
      </w:r>
    </w:p>
    <w:p>
      <w:r>
        <w:t>Total Degraded Cells: 811</w:t>
      </w:r>
    </w:p>
    <w:p>
      <w:pPr>
        <w:pStyle w:val="Heading1"/>
      </w:pPr>
      <w:r>
        <w:t>KPI Analysis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KPI Name</w:t>
            </w:r>
          </w:p>
        </w:tc>
        <w:tc>
          <w:tcPr>
            <w:tcW w:type="dxa" w:w="1728"/>
          </w:tcPr>
          <w:p>
            <w:r>
              <w:t>Degraded Cell Count</w:t>
            </w:r>
          </w:p>
        </w:tc>
        <w:tc>
          <w:tcPr>
            <w:tcW w:type="dxa" w:w="1728"/>
          </w:tcPr>
          <w:p>
            <w:r>
              <w:t>Max Degradation %</w:t>
            </w:r>
          </w:p>
        </w:tc>
        <w:tc>
          <w:tcPr>
            <w:tcW w:type="dxa" w:w="1728"/>
          </w:tcPr>
          <w:p>
            <w:r>
              <w:t>Threshold %</w:t>
            </w:r>
          </w:p>
        </w:tc>
        <w:tc>
          <w:tcPr>
            <w:tcW w:type="dxa" w:w="1728"/>
          </w:tcPr>
          <w:p>
            <w:r>
              <w:t>Enhancement Potential %</w:t>
            </w:r>
          </w:p>
        </w:tc>
      </w:tr>
      <w:tr>
        <w:tc>
          <w:tcPr>
            <w:tcW w:type="dxa" w:w="1728"/>
          </w:tcPr>
          <w:p>
            <w:r>
              <w:t>DL Traffic</w:t>
            </w:r>
          </w:p>
        </w:tc>
        <w:tc>
          <w:tcPr>
            <w:tcW w:type="dxa" w:w="1728"/>
          </w:tcPr>
          <w:p>
            <w:r>
              <w:t>138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30.00%</w:t>
            </w:r>
          </w:p>
        </w:tc>
        <w:tc>
          <w:tcPr>
            <w:tcW w:type="dxa" w:w="1728"/>
          </w:tcPr>
          <w:p>
            <w:r>
              <w:t>14.06%</w:t>
            </w:r>
          </w:p>
        </w:tc>
      </w:tr>
      <w:tr>
        <w:tc>
          <w:tcPr>
            <w:tcW w:type="dxa" w:w="1728"/>
          </w:tcPr>
          <w:p>
            <w:r>
              <w:t>UL Traffic</w:t>
            </w:r>
          </w:p>
        </w:tc>
        <w:tc>
          <w:tcPr>
            <w:tcW w:type="dxa" w:w="1728"/>
          </w:tcPr>
          <w:p>
            <w:r>
              <w:t>204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30.00%</w:t>
            </w:r>
          </w:p>
        </w:tc>
        <w:tc>
          <w:tcPr>
            <w:tcW w:type="dxa" w:w="1728"/>
          </w:tcPr>
          <w:p>
            <w:r>
              <w:t>16.72%</w:t>
            </w:r>
          </w:p>
        </w:tc>
      </w:tr>
      <w:tr>
        <w:tc>
          <w:tcPr>
            <w:tcW w:type="dxa" w:w="1728"/>
          </w:tcPr>
          <w:p>
            <w:r>
              <w:t>DL Throughput</w:t>
            </w:r>
          </w:p>
        </w:tc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51.48%</w:t>
            </w:r>
          </w:p>
        </w:tc>
        <w:tc>
          <w:tcPr>
            <w:tcW w:type="dxa" w:w="1728"/>
          </w:tcPr>
          <w:p>
            <w:r>
              <w:t>20.00%</w:t>
            </w:r>
          </w:p>
        </w:tc>
        <w:tc>
          <w:tcPr>
            <w:tcW w:type="dxa" w:w="1728"/>
          </w:tcPr>
          <w:p>
            <w:r>
              <w:t>-1.83%</w:t>
            </w:r>
          </w:p>
        </w:tc>
      </w:tr>
      <w:tr>
        <w:tc>
          <w:tcPr>
            <w:tcW w:type="dxa" w:w="1728"/>
          </w:tcPr>
          <w:p>
            <w:r>
              <w:t>UL Throughput</w:t>
            </w:r>
          </w:p>
        </w:tc>
        <w:tc>
          <w:tcPr>
            <w:tcW w:type="dxa" w:w="1728"/>
          </w:tcPr>
          <w:p>
            <w:r>
              <w:t>162</w:t>
            </w:r>
          </w:p>
        </w:tc>
        <w:tc>
          <w:tcPr>
            <w:tcW w:type="dxa" w:w="1728"/>
          </w:tcPr>
          <w:p>
            <w:r>
              <w:t>75.70%</w:t>
            </w:r>
          </w:p>
        </w:tc>
        <w:tc>
          <w:tcPr>
            <w:tcW w:type="dxa" w:w="1728"/>
          </w:tcPr>
          <w:p>
            <w:r>
              <w:t>20.00%</w:t>
            </w:r>
          </w:p>
        </w:tc>
        <w:tc>
          <w:tcPr>
            <w:tcW w:type="dxa" w:w="1728"/>
          </w:tcPr>
          <w:p>
            <w:r>
              <w:t>-0.44%</w:t>
            </w:r>
          </w:p>
        </w:tc>
      </w:tr>
      <w:tr>
        <w:tc>
          <w:tcPr>
            <w:tcW w:type="dxa" w:w="1728"/>
          </w:tcPr>
          <w:p>
            <w:r>
              <w:t>RRC Setup SR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1.33%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t>0.01%</w:t>
            </w:r>
          </w:p>
        </w:tc>
      </w:tr>
      <w:tr>
        <w:tc>
          <w:tcPr>
            <w:tcW w:type="dxa" w:w="1728"/>
          </w:tcPr>
          <w:p>
            <w:r>
              <w:t>ERAB Setup SR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7.42%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t>0.01%</w:t>
            </w:r>
          </w:p>
        </w:tc>
      </w:tr>
      <w:tr>
        <w:tc>
          <w:tcPr>
            <w:tcW w:type="dxa" w:w="1728"/>
          </w:tcPr>
          <w:p>
            <w:r>
              <w:t>E-RAB Drop Rate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2.77%</w:t>
            </w:r>
          </w:p>
        </w:tc>
        <w:tc>
          <w:tcPr>
            <w:tcW w:type="dxa" w:w="1728"/>
          </w:tcPr>
          <w:p>
            <w:r>
              <w:t>0.50%</w:t>
            </w:r>
          </w:p>
        </w:tc>
        <w:tc>
          <w:tcPr>
            <w:tcW w:type="dxa" w:w="1728"/>
          </w:tcPr>
          <w:p>
            <w:r>
              <w:t>4.35%</w:t>
            </w:r>
          </w:p>
        </w:tc>
      </w:tr>
      <w:tr>
        <w:tc>
          <w:tcPr>
            <w:tcW w:type="dxa" w:w="1728"/>
          </w:tcPr>
          <w:p>
            <w:r>
              <w:t>HO Success Rate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25.00%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t>-0.01%</w:t>
            </w:r>
          </w:p>
        </w:tc>
      </w:tr>
      <w:tr>
        <w:tc>
          <w:tcPr>
            <w:tcW w:type="dxa" w:w="1728"/>
          </w:tcPr>
          <w:p>
            <w:r>
              <w:t>Availability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97.11%</w:t>
            </w:r>
          </w:p>
        </w:tc>
        <w:tc>
          <w:tcPr>
            <w:tcW w:type="dxa" w:w="1728"/>
          </w:tcPr>
          <w:p>
            <w:r>
              <w:t>1.00%</w:t>
            </w:r>
          </w:p>
        </w:tc>
        <w:tc>
          <w:tcPr>
            <w:tcW w:type="dxa" w:w="1728"/>
          </w:tcPr>
          <w:p>
            <w:r>
              <w:t>-0.69%</w:t>
            </w:r>
          </w:p>
        </w:tc>
      </w:tr>
      <w:tr>
        <w:tc>
          <w:tcPr>
            <w:tcW w:type="dxa" w:w="1728"/>
          </w:tcPr>
          <w:p>
            <w:r>
              <w:t>RACH Success Rate</w:t>
            </w:r>
          </w:p>
        </w:tc>
        <w:tc>
          <w:tcPr>
            <w:tcW w:type="dxa" w:w="1728"/>
          </w:tcPr>
          <w:p>
            <w:r>
              <w:t>106</w:t>
            </w:r>
          </w:p>
        </w:tc>
        <w:tc>
          <w:tcPr>
            <w:tcW w:type="dxa" w:w="1728"/>
          </w:tcPr>
          <w:p>
            <w:r>
              <w:t>40.37%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t>1.13%</w:t>
            </w:r>
          </w:p>
        </w:tc>
      </w:tr>
      <w:tr>
        <w:tc>
          <w:tcPr>
            <w:tcW w:type="dxa" w:w="1728"/>
          </w:tcPr>
          <w:p>
            <w:r>
              <w:t>CSFB KPI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0.88%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t>-0.01%</w:t>
            </w:r>
          </w:p>
        </w:tc>
      </w:tr>
      <w:tr>
        <w:tc>
          <w:tcPr>
            <w:tcW w:type="dxa" w:w="1728"/>
          </w:tcPr>
          <w:p>
            <w:r>
              <w:t>VoLTE KPIs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0.38%</w:t>
            </w:r>
          </w:p>
        </w:tc>
        <w:tc>
          <w:tcPr>
            <w:tcW w:type="dxa" w:w="1728"/>
          </w:tcPr>
          <w:p>
            <w:r>
              <w:t>2.00%</w:t>
            </w:r>
          </w:p>
        </w:tc>
        <w:tc>
          <w:tcPr>
            <w:tcW w:type="dxa" w:w="1728"/>
          </w:tcPr>
          <w:p>
            <w:r>
              <w:t>0.05%</w:t>
            </w:r>
          </w:p>
        </w:tc>
      </w:tr>
      <w:tr>
        <w:tc>
          <w:tcPr>
            <w:tcW w:type="dxa" w:w="1728"/>
          </w:tcPr>
          <w:p>
            <w:r>
              <w:t>RRC Re-establishment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94.77%</w:t>
            </w:r>
          </w:p>
        </w:tc>
        <w:tc>
          <w:tcPr>
            <w:tcW w:type="dxa" w:w="1728"/>
          </w:tcPr>
          <w:p>
            <w:r>
              <w:t>10.00%</w:t>
            </w:r>
          </w:p>
        </w:tc>
        <w:tc>
          <w:tcPr>
            <w:tcW w:type="dxa" w:w="1728"/>
          </w:tcPr>
          <w:p>
            <w:r>
              <w:t>-0.11%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