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RF Optimization Analysis Report</w:t>
      </w:r>
    </w:p>
    <w:p>
      <w:r>
        <w:t>Generated: 2026-06-28 18:33:16</w:t>
      </w:r>
    </w:p>
    <w:p>
      <w:r>
        <w:t>Developed by: Musketeers_Team (ITI Graduation Project 2026)</w:t>
      </w:r>
    </w:p>
    <w:p>
      <w:r>
        <w:t>Version: 2.0 Enhanced</w:t>
      </w:r>
    </w:p>
    <w:p>
      <w:pPr>
        <w:pStyle w:val="Heading1"/>
      </w:pPr>
      <w:r>
        <w:t>Analysis Summary</w:t>
      </w:r>
    </w:p>
    <w:p>
      <w:r>
        <w:t>Analysis Mode: All KPIs Analysis</w:t>
      </w:r>
    </w:p>
    <w:p>
      <w:r>
        <w:t>Baseline Mode: last_week</w:t>
      </w:r>
    </w:p>
    <w:p>
      <w:r>
        <w:t>Significance Test: Enabled</w:t>
      </w:r>
    </w:p>
    <w:p>
      <w:r>
        <w:t>Total KPIs Analyzed: 13</w:t>
      </w:r>
    </w:p>
    <w:p>
      <w:r>
        <w:t>Total Degraded Cells: 162</w:t>
      </w:r>
    </w:p>
    <w:p>
      <w:pPr>
        <w:pStyle w:val="Heading1"/>
      </w:pPr>
      <w:r>
        <w:t>KPI Analysis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KPI Name</w:t>
            </w:r>
          </w:p>
        </w:tc>
        <w:tc>
          <w:tcPr>
            <w:tcW w:type="dxa" w:w="1728"/>
          </w:tcPr>
          <w:p>
            <w:r>
              <w:t>Degraded Cell Count</w:t>
            </w:r>
          </w:p>
        </w:tc>
        <w:tc>
          <w:tcPr>
            <w:tcW w:type="dxa" w:w="1728"/>
          </w:tcPr>
          <w:p>
            <w:r>
              <w:t>Max Degradation %</w:t>
            </w:r>
          </w:p>
        </w:tc>
        <w:tc>
          <w:tcPr>
            <w:tcW w:type="dxa" w:w="1728"/>
          </w:tcPr>
          <w:p>
            <w:r>
              <w:t>Threshold %</w:t>
            </w:r>
          </w:p>
        </w:tc>
        <w:tc>
          <w:tcPr>
            <w:tcW w:type="dxa" w:w="1728"/>
          </w:tcPr>
          <w:p>
            <w:r>
              <w:t>Enhancement Potential %</w:t>
            </w:r>
          </w:p>
        </w:tc>
      </w:tr>
      <w:tr>
        <w:tc>
          <w:tcPr>
            <w:tcW w:type="dxa" w:w="1728"/>
          </w:tcPr>
          <w:p>
            <w:r>
              <w:t>DL Traffic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96.68%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  <w:tc>
          <w:tcPr>
            <w:tcW w:type="dxa" w:w="1728"/>
          </w:tcPr>
          <w:p>
            <w:r>
              <w:t>3.98%</w:t>
            </w:r>
          </w:p>
        </w:tc>
      </w:tr>
      <w:tr>
        <w:tc>
          <w:tcPr>
            <w:tcW w:type="dxa" w:w="1728"/>
          </w:tcPr>
          <w:p>
            <w:r>
              <w:t>UL Traffic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93.82%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  <w:tc>
          <w:tcPr>
            <w:tcW w:type="dxa" w:w="1728"/>
          </w:tcPr>
          <w:p>
            <w:r>
              <w:t>4.92%</w:t>
            </w:r>
          </w:p>
        </w:tc>
      </w:tr>
      <w:tr>
        <w:tc>
          <w:tcPr>
            <w:tcW w:type="dxa" w:w="1728"/>
          </w:tcPr>
          <w:p>
            <w:r>
              <w:t>DL Throughput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51.48%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  <w:tc>
          <w:tcPr>
            <w:tcW w:type="dxa" w:w="1728"/>
          </w:tcPr>
          <w:p>
            <w:r>
              <w:t>-0.74%</w:t>
            </w:r>
          </w:p>
        </w:tc>
      </w:tr>
      <w:tr>
        <w:tc>
          <w:tcPr>
            <w:tcW w:type="dxa" w:w="1728"/>
          </w:tcPr>
          <w:p>
            <w:r>
              <w:t>UL Throughput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75.70%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  <w:tc>
          <w:tcPr>
            <w:tcW w:type="dxa" w:w="1728"/>
          </w:tcPr>
          <w:p>
            <w:r>
              <w:t>1.46%</w:t>
            </w:r>
          </w:p>
        </w:tc>
      </w:tr>
      <w:tr>
        <w:tc>
          <w:tcPr>
            <w:tcW w:type="dxa" w:w="1728"/>
          </w:tcPr>
          <w:p>
            <w:r>
              <w:t>RRC Setup SR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1.33%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</w:tr>
      <w:tr>
        <w:tc>
          <w:tcPr>
            <w:tcW w:type="dxa" w:w="1728"/>
          </w:tcPr>
          <w:p>
            <w:r>
              <w:t>ERAB Setup SR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1.69%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0.03%</w:t>
            </w:r>
          </w:p>
        </w:tc>
      </w:tr>
      <w:tr>
        <w:tc>
          <w:tcPr>
            <w:tcW w:type="dxa" w:w="1728"/>
          </w:tcPr>
          <w:p>
            <w:r>
              <w:t>E-RAB Drop Rate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1.93%</w:t>
            </w:r>
          </w:p>
        </w:tc>
        <w:tc>
          <w:tcPr>
            <w:tcW w:type="dxa" w:w="1728"/>
          </w:tcPr>
          <w:p>
            <w:r>
              <w:t>0.50%</w:t>
            </w:r>
          </w:p>
        </w:tc>
        <w:tc>
          <w:tcPr>
            <w:tcW w:type="dxa" w:w="1728"/>
          </w:tcPr>
          <w:p>
            <w:r>
              <w:t>0.53%</w:t>
            </w:r>
          </w:p>
        </w:tc>
      </w:tr>
      <w:tr>
        <w:tc>
          <w:tcPr>
            <w:tcW w:type="dxa" w:w="1728"/>
          </w:tcPr>
          <w:p>
            <w:r>
              <w:t>HO Success Rate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14.47%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-0.01%</w:t>
            </w:r>
          </w:p>
        </w:tc>
      </w:tr>
      <w:tr>
        <w:tc>
          <w:tcPr>
            <w:tcW w:type="dxa" w:w="1728"/>
          </w:tcPr>
          <w:p>
            <w:r>
              <w:t>Availability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4.90%</w:t>
            </w:r>
          </w:p>
        </w:tc>
        <w:tc>
          <w:tcPr>
            <w:tcW w:type="dxa" w:w="1728"/>
          </w:tcPr>
          <w:p>
            <w:r>
              <w:t>1.00%</w:t>
            </w:r>
          </w:p>
        </w:tc>
        <w:tc>
          <w:tcPr>
            <w:tcW w:type="dxa" w:w="1728"/>
          </w:tcPr>
          <w:p>
            <w:r>
              <w:t>-0.11%</w:t>
            </w:r>
          </w:p>
        </w:tc>
      </w:tr>
      <w:tr>
        <w:tc>
          <w:tcPr>
            <w:tcW w:type="dxa" w:w="1728"/>
          </w:tcPr>
          <w:p>
            <w:r>
              <w:t>RACH Success Rate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40.37%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0.17%</w:t>
            </w:r>
          </w:p>
        </w:tc>
      </w:tr>
      <w:tr>
        <w:tc>
          <w:tcPr>
            <w:tcW w:type="dxa" w:w="1728"/>
          </w:tcPr>
          <w:p>
            <w:r>
              <w:t>CSFB KPI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0.88%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0.01%</w:t>
            </w:r>
          </w:p>
        </w:tc>
      </w:tr>
      <w:tr>
        <w:tc>
          <w:tcPr>
            <w:tcW w:type="dxa" w:w="1728"/>
          </w:tcPr>
          <w:p>
            <w:r>
              <w:t>VoLTE KPIs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0.38%</w:t>
            </w:r>
          </w:p>
        </w:tc>
        <w:tc>
          <w:tcPr>
            <w:tcW w:type="dxa" w:w="1728"/>
          </w:tcPr>
          <w:p>
            <w:r>
              <w:t>2.00%</w:t>
            </w:r>
          </w:p>
        </w:tc>
        <w:tc>
          <w:tcPr>
            <w:tcW w:type="dxa" w:w="1728"/>
          </w:tcPr>
          <w:p>
            <w:r>
              <w:t>0.04%</w:t>
            </w:r>
          </w:p>
        </w:tc>
      </w:tr>
      <w:tr>
        <w:tc>
          <w:tcPr>
            <w:tcW w:type="dxa" w:w="1728"/>
          </w:tcPr>
          <w:p>
            <w:r>
              <w:t>RRC Re-establishment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34.25%</w:t>
            </w:r>
          </w:p>
        </w:tc>
        <w:tc>
          <w:tcPr>
            <w:tcW w:type="dxa" w:w="1728"/>
          </w:tcPr>
          <w:p>
            <w:r>
              <w:t>10.00%</w:t>
            </w:r>
          </w:p>
        </w:tc>
        <w:tc>
          <w:tcPr>
            <w:tcW w:type="dxa" w:w="1728"/>
          </w:tcPr>
          <w:p>
            <w:r>
              <w:t>0.03%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