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02AF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منصة متعددة الاستخدامات عبر مراحل رحلة المريض.</w:t>
      </w:r>
    </w:p>
    <w:p w14:paraId="2BAA2A14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يمكن أن يدعم تعديل الألم والتروية وتحضير الأنسجة.</w:t>
      </w:r>
    </w:p>
    <w:p w14:paraId="06475348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يمكن دمجه بسهولة مع العلاج اليدوي والحركة والتمارين.</w:t>
      </w:r>
    </w:p>
    <w:p w14:paraId="73BEDE4B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يمنح العيادة إمكانية استخدام الجهاز عبر تخصصات وأجسام مختلفة.</w:t>
      </w:r>
    </w:p>
    <w:p w14:paraId="0D32265A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إعادة التأهيل الرياضي والتعافي بعد المجهود أو الإصابة.</w:t>
      </w:r>
    </w:p>
    <w:p w14:paraId="121C3B8F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آلام واضطرابات الجهاز العضلي الهيكلي.</w:t>
      </w:r>
    </w:p>
    <w:p w14:paraId="1B64BFCF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دعم التعامل مع التورم والوذمة ضمن الاستخدام المعتمد.</w:t>
      </w:r>
    </w:p>
    <w:p w14:paraId="5BE88858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تحضير الأنسجة قبل العلاج اليدوي أو الحركة.</w:t>
      </w:r>
    </w:p>
    <w:p w14:paraId="4190A0FF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بعض برامج التأهيل بعد الجراحة أو في الحالات المزمنة، حسب تقييم الطبيب والبروتوكول المعتمد.</w:t>
      </w:r>
    </w:p>
    <w:p w14:paraId="1FC70120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مصدر </w:t>
      </w:r>
      <w:r>
        <w:rPr>
          <w:rFonts w:ascii="Arial" w:hAnsi="Arial" w:cs="Arial"/>
          <w:b/>
          <w:color w:val="0B2239"/>
          <w:sz w:val="28"/>
          <w:szCs w:val="28"/>
        </w:rPr>
        <w:t>Nd:YAG</w:t>
      </w: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 نابض بطول موجي 1064 </w:t>
      </w:r>
      <w:r>
        <w:rPr>
          <w:rFonts w:ascii="Arial" w:hAnsi="Arial" w:cs="Arial"/>
          <w:b/>
          <w:color w:val="0B2239"/>
          <w:sz w:val="28"/>
          <w:szCs w:val="28"/>
        </w:rPr>
        <w:t>nm</w:t>
      </w:r>
      <w:r>
        <w:rPr>
          <w:rFonts w:ascii="Arial" w:hAnsi="Arial" w:cs="Arial"/>
          <w:b/>
          <w:color w:val="0B2239"/>
          <w:sz w:val="28"/>
          <w:szCs w:val="28"/>
          <w:rtl/>
        </w:rPr>
        <w:t>.</w:t>
      </w:r>
    </w:p>
    <w:p w14:paraId="2908CEAF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شدة قصوى مذكورة حتى 15,000 </w:t>
      </w:r>
      <w:r>
        <w:rPr>
          <w:rFonts w:ascii="Arial" w:hAnsi="Arial" w:cs="Arial"/>
          <w:b/>
          <w:color w:val="0B2239"/>
          <w:sz w:val="28"/>
          <w:szCs w:val="28"/>
        </w:rPr>
        <w:t>W/cm²</w:t>
      </w:r>
      <w:r>
        <w:rPr>
          <w:rFonts w:ascii="Arial" w:hAnsi="Arial" w:cs="Arial"/>
          <w:b/>
          <w:color w:val="0B2239"/>
          <w:sz w:val="28"/>
          <w:szCs w:val="28"/>
          <w:rtl/>
        </w:rPr>
        <w:t>.</w:t>
      </w:r>
    </w:p>
    <w:p w14:paraId="2F375825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مدة نبضة تصل إلى 100 </w:t>
      </w:r>
      <w:r>
        <w:rPr>
          <w:rFonts w:ascii="Arial" w:hAnsi="Arial" w:cs="Arial"/>
          <w:b/>
          <w:color w:val="0B2239"/>
          <w:sz w:val="28"/>
          <w:szCs w:val="28"/>
        </w:rPr>
        <w:t>microseconds</w:t>
      </w:r>
      <w:r>
        <w:rPr>
          <w:rFonts w:ascii="Arial" w:hAnsi="Arial" w:cs="Arial"/>
          <w:b/>
          <w:color w:val="0B2239"/>
          <w:sz w:val="28"/>
          <w:szCs w:val="28"/>
          <w:rtl/>
        </w:rPr>
        <w:t>.</w:t>
      </w:r>
    </w:p>
    <w:p w14:paraId="42EE1C4B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</w:t>
      </w:r>
      <w:r>
        <w:rPr>
          <w:rFonts w:ascii="Arial" w:hAnsi="Arial" w:cs="Arial"/>
          <w:b/>
          <w:color w:val="0B2239"/>
          <w:sz w:val="28"/>
          <w:szCs w:val="28"/>
        </w:rPr>
        <w:t>SmartCooler</w:t>
      </w: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 يعمل ضمن نطاق 18–28°</w:t>
      </w:r>
      <w:r>
        <w:rPr>
          <w:rFonts w:ascii="Arial" w:hAnsi="Arial" w:cs="Arial"/>
          <w:b/>
          <w:color w:val="0B2239"/>
          <w:sz w:val="28"/>
          <w:szCs w:val="28"/>
        </w:rPr>
        <w:t>C</w:t>
      </w:r>
      <w:r>
        <w:rPr>
          <w:rFonts w:ascii="Arial" w:hAnsi="Arial" w:cs="Arial"/>
          <w:b/>
          <w:color w:val="0B2239"/>
          <w:sz w:val="28"/>
          <w:szCs w:val="28"/>
          <w:rtl/>
        </w:rPr>
        <w:t>.</w:t>
      </w:r>
    </w:p>
    <w:p w14:paraId="4144FB64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شاشة لمس رسومية بحجم 10 بوصات.</w:t>
      </w:r>
    </w:p>
    <w:p w14:paraId="41393E1A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تدخل علاجي مركز وعالي الشدة.</w:t>
      </w:r>
    </w:p>
    <w:p w14:paraId="2824C8D9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قصة واضحة عن الوصول إلى أهداف عضلية هيكلية أعمق.</w:t>
      </w:r>
    </w:p>
    <w:p w14:paraId="17A3AE40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مناسب للعيادات التي تريد خدمة مميزة يمكن شرحها للمريض بسهولة.</w:t>
      </w:r>
    </w:p>
    <w:p w14:paraId="7BE09E19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</w:t>
      </w:r>
      <w:r>
        <w:rPr>
          <w:rFonts w:ascii="Arial" w:hAnsi="Arial" w:cs="Arial"/>
          <w:b/>
          <w:color w:val="0B2239"/>
          <w:sz w:val="28"/>
          <w:szCs w:val="28"/>
        </w:rPr>
        <w:t>SmartCooler</w:t>
      </w: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 يساعد على تقديم الشدة مع راحة وتحكم أفضل.</w:t>
      </w:r>
    </w:p>
    <w:p w14:paraId="686652B5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حالات الألم الحاد أو الحالات الحساسة التي تحتاج تدخلاً سريعاً ضمن الاستخدام المعتمد.</w:t>
      </w:r>
    </w:p>
    <w:p w14:paraId="19964359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إصابات الرياضة والعضلات والأنسجة الرخوة.</w:t>
      </w:r>
    </w:p>
    <w:p w14:paraId="57AD313C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أهداف عضلية هيكلية عميقة أو مزمنة يراها المعالج مناسبة.</w:t>
      </w:r>
    </w:p>
    <w:p w14:paraId="600D7112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>• برامج علاج الألم وإعادة التأهيل التي تحتاج خياراً مركزاً ومميزاً.</w:t>
      </w:r>
    </w:p>
    <w:p w14:paraId="1D3BF6FB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  <w:r>
        <w:rPr>
          <w:rFonts w:ascii="Arial" w:hAnsi="Arial" w:cs="Arial"/>
          <w:b/>
          <w:color w:val="2D6CDF"/>
          <w:sz w:val="34"/>
          <w:szCs w:val="34"/>
        </w:rPr>
        <w:t>CT9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يعتمد على </w:t>
      </w:r>
      <w:r>
        <w:rPr>
          <w:rFonts w:ascii="Arial" w:hAnsi="Arial" w:cs="Arial"/>
          <w:b/>
          <w:color w:val="2D6CDF"/>
          <w:sz w:val="34"/>
          <w:szCs w:val="34"/>
        </w:rPr>
        <w:t>RF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بتردد 448 </w:t>
      </w:r>
      <w:r>
        <w:rPr>
          <w:rFonts w:ascii="Arial" w:hAnsi="Arial" w:cs="Arial"/>
          <w:b/>
          <w:color w:val="2D6CDF"/>
          <w:sz w:val="34"/>
          <w:szCs w:val="34"/>
        </w:rPr>
        <w:t>kHz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، أما </w:t>
      </w:r>
      <w:r>
        <w:rPr>
          <w:rFonts w:ascii="Arial" w:hAnsi="Arial" w:cs="Arial"/>
          <w:b/>
          <w:color w:val="2D6CDF"/>
          <w:sz w:val="34"/>
          <w:szCs w:val="34"/>
        </w:rPr>
        <w:t>HIRO TT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فيعتمد على ليزر </w:t>
      </w:r>
      <w:r>
        <w:rPr>
          <w:rFonts w:ascii="Arial" w:hAnsi="Arial" w:cs="Arial"/>
          <w:b/>
          <w:color w:val="2D6CDF"/>
          <w:sz w:val="34"/>
          <w:szCs w:val="34"/>
        </w:rPr>
        <w:t>Nd:YAG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نابض بطول موجي 1064 </w:t>
      </w:r>
      <w:r>
        <w:rPr>
          <w:rFonts w:ascii="Arial" w:hAnsi="Arial" w:cs="Arial"/>
          <w:b/>
          <w:color w:val="2D6CDF"/>
          <w:sz w:val="34"/>
          <w:szCs w:val="34"/>
        </w:rPr>
        <w:t>nm</w:t>
      </w:r>
      <w:r>
        <w:rPr>
          <w:rFonts w:ascii="Arial" w:hAnsi="Arial" w:cs="Arial"/>
          <w:b/>
          <w:color w:val="2D6CDF"/>
          <w:sz w:val="34"/>
          <w:szCs w:val="34"/>
          <w:rtl/>
        </w:rPr>
        <w:t>.</w:t>
      </w:r>
    </w:p>
    <w:p w14:paraId="3661422E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</w:p>
    <w:p w14:paraId="1D0071C0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  <w:r>
        <w:rPr>
          <w:rFonts w:ascii="Arial" w:hAnsi="Arial" w:cs="Arial"/>
          <w:b/>
          <w:color w:val="2D6CDF"/>
          <w:sz w:val="34"/>
          <w:szCs w:val="34"/>
        </w:rPr>
        <w:t>CT9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أوسع من ناحية الاستخدام اليومي والدمج مع العلاج اليدوي والتمارين. </w:t>
      </w:r>
      <w:r>
        <w:rPr>
          <w:rFonts w:ascii="Arial" w:hAnsi="Arial" w:cs="Arial"/>
          <w:b/>
          <w:color w:val="2D6CDF"/>
          <w:sz w:val="34"/>
          <w:szCs w:val="34"/>
        </w:rPr>
        <w:t>HIRO TT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أكثر تركيزاً على الشدة والعمق والتدخل المميز.</w:t>
      </w:r>
    </w:p>
    <w:p w14:paraId="0CCD639C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</w:p>
    <w:p w14:paraId="34E0D5D4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  <w:r>
        <w:rPr>
          <w:rFonts w:ascii="Arial" w:hAnsi="Arial" w:cs="Arial"/>
          <w:b/>
          <w:color w:val="2D6CDF"/>
          <w:sz w:val="34"/>
          <w:szCs w:val="34"/>
        </w:rPr>
        <w:t>CT9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مناسب عندما تريد العيادة منصة تستخدمها عدة فرق وفي تخصصات متعددة. </w:t>
      </w:r>
      <w:r>
        <w:rPr>
          <w:rFonts w:ascii="Arial" w:hAnsi="Arial" w:cs="Arial"/>
          <w:b/>
          <w:color w:val="2D6CDF"/>
          <w:sz w:val="34"/>
          <w:szCs w:val="34"/>
        </w:rPr>
        <w:t>HIRO TT</w:t>
      </w:r>
      <w:r>
        <w:rPr>
          <w:rFonts w:ascii="Arial" w:hAnsi="Arial" w:cs="Arial"/>
          <w:b/>
          <w:color w:val="2D6CDF"/>
          <w:sz w:val="34"/>
          <w:szCs w:val="34"/>
          <w:rtl/>
        </w:rPr>
        <w:t xml:space="preserve"> مناسب عندما تريد العيادة إضافة خدمة مركزة ذات قيمة محسوسة، خاصة في الألم الحاد، والأهداف العميقة، والحالات الرياضية الصعبة.</w:t>
      </w:r>
    </w:p>
    <w:p w14:paraId="07B339D2" w14:textId="77777777" w:rsidR="0033104E" w:rsidRDefault="0033104E" w:rsidP="0033104E">
      <w:pPr>
        <w:bidi/>
        <w:jc w:val="both"/>
        <w:rPr>
          <w:rFonts w:ascii="Arial" w:hAnsi="Arial" w:cs="Arial"/>
          <w:b/>
          <w:color w:val="2D6CDF"/>
          <w:sz w:val="34"/>
          <w:szCs w:val="34"/>
          <w:rtl/>
        </w:rPr>
      </w:pPr>
    </w:p>
    <w:p w14:paraId="22A3B988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>ابدأ دائماً بسؤال العميل عن نوع المرضى الذين يريد خدمتهم بشكل أفضل، ثم اسأل عن نقاط ضعف المسار العلاجي الحالي، وبعد ذلك اربط الجهاز بالمشكلة.</w:t>
      </w:r>
    </w:p>
    <w:p w14:paraId="78BF2F99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</w:p>
    <w:p w14:paraId="4F7484F1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>تسلسل بسيط يمكنك حفظه:</w:t>
      </w:r>
    </w:p>
    <w:p w14:paraId="2414D1C9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1. </w:t>
      </w:r>
      <w:r>
        <w:rPr>
          <w:rFonts w:ascii="Arial" w:hAnsi="Arial" w:cs="Arial"/>
          <w:b/>
          <w:color w:val="E5B93F"/>
          <w:sz w:val="34"/>
          <w:szCs w:val="34"/>
        </w:rPr>
        <w:t>Discover</w:t>
      </w:r>
      <w:r>
        <w:rPr>
          <w:rFonts w:ascii="Arial" w:hAnsi="Arial" w:cs="Arial"/>
          <w:b/>
          <w:color w:val="E5B93F"/>
          <w:sz w:val="34"/>
          <w:szCs w:val="34"/>
          <w:rtl/>
        </w:rPr>
        <w:t>: افهم أولوية العيادة والمرضى.</w:t>
      </w:r>
    </w:p>
    <w:p w14:paraId="67E696AF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2. </w:t>
      </w:r>
      <w:r>
        <w:rPr>
          <w:rFonts w:ascii="Arial" w:hAnsi="Arial" w:cs="Arial"/>
          <w:b/>
          <w:color w:val="E5B93F"/>
          <w:sz w:val="34"/>
          <w:szCs w:val="34"/>
        </w:rPr>
        <w:t>Match</w:t>
      </w: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: اختر </w:t>
      </w:r>
      <w:r>
        <w:rPr>
          <w:rFonts w:ascii="Arial" w:hAnsi="Arial" w:cs="Arial"/>
          <w:b/>
          <w:color w:val="E5B93F"/>
          <w:sz w:val="34"/>
          <w:szCs w:val="34"/>
        </w:rPr>
        <w:t>CT9</w:t>
      </w: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 للاتساع والدمج، أو </w:t>
      </w:r>
      <w:r>
        <w:rPr>
          <w:rFonts w:ascii="Arial" w:hAnsi="Arial" w:cs="Arial"/>
          <w:b/>
          <w:color w:val="E5B93F"/>
          <w:sz w:val="34"/>
          <w:szCs w:val="34"/>
        </w:rPr>
        <w:t>HIRO TT</w:t>
      </w: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 للعمق والشدة والتميّز.</w:t>
      </w:r>
    </w:p>
    <w:p w14:paraId="02E13F0B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3. </w:t>
      </w:r>
      <w:r>
        <w:rPr>
          <w:rFonts w:ascii="Arial" w:hAnsi="Arial" w:cs="Arial"/>
          <w:b/>
          <w:color w:val="E5B93F"/>
          <w:sz w:val="34"/>
          <w:szCs w:val="34"/>
        </w:rPr>
        <w:t>Demonstrate</w:t>
      </w:r>
      <w:r>
        <w:rPr>
          <w:rFonts w:ascii="Arial" w:hAnsi="Arial" w:cs="Arial"/>
          <w:b/>
          <w:color w:val="E5B93F"/>
          <w:sz w:val="34"/>
          <w:szCs w:val="34"/>
          <w:rtl/>
        </w:rPr>
        <w:t>: اشرح ما سيشعر به المريض وما الذي يفعله المعالج.</w:t>
      </w:r>
    </w:p>
    <w:p w14:paraId="1DC69835" w14:textId="77777777" w:rsidR="0033104E" w:rsidRDefault="0033104E" w:rsidP="0033104E">
      <w:pPr>
        <w:bidi/>
        <w:jc w:val="both"/>
        <w:rPr>
          <w:rFonts w:ascii="Arial" w:hAnsi="Arial" w:cs="Arial"/>
          <w:b/>
          <w:color w:val="E5B93F"/>
          <w:sz w:val="34"/>
          <w:szCs w:val="34"/>
          <w:rtl/>
        </w:rPr>
      </w:pPr>
      <w:r>
        <w:rPr>
          <w:rFonts w:ascii="Arial" w:hAnsi="Arial" w:cs="Arial"/>
          <w:b/>
          <w:color w:val="E5B93F"/>
          <w:sz w:val="34"/>
          <w:szCs w:val="34"/>
          <w:rtl/>
        </w:rPr>
        <w:t xml:space="preserve">4. </w:t>
      </w:r>
      <w:r>
        <w:rPr>
          <w:rFonts w:ascii="Arial" w:hAnsi="Arial" w:cs="Arial"/>
          <w:b/>
          <w:color w:val="E5B93F"/>
          <w:sz w:val="34"/>
          <w:szCs w:val="34"/>
        </w:rPr>
        <w:t>Prove value</w:t>
      </w:r>
      <w:r>
        <w:rPr>
          <w:rFonts w:ascii="Arial" w:hAnsi="Arial" w:cs="Arial"/>
          <w:b/>
          <w:color w:val="E5B93F"/>
          <w:sz w:val="34"/>
          <w:szCs w:val="34"/>
          <w:rtl/>
        </w:rPr>
        <w:t>: اربط التدريب والاستخدام وعدد الجلسات بالاستثمار.</w:t>
      </w:r>
    </w:p>
    <w:p w14:paraId="34FC9067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</w:t>
      </w:r>
      <w:r>
        <w:rPr>
          <w:rFonts w:ascii="Arial" w:hAnsi="Arial" w:cs="Arial"/>
          <w:b/>
          <w:color w:val="0B2239"/>
          <w:sz w:val="28"/>
          <w:szCs w:val="28"/>
        </w:rPr>
        <w:t>INDIBA CT9: https://indiba.com/us/products/ct9</w:t>
      </w:r>
      <w:r>
        <w:rPr>
          <w:rFonts w:ascii="Arial" w:hAnsi="Arial" w:cs="Arial"/>
          <w:b/>
          <w:color w:val="0B2239"/>
          <w:sz w:val="28"/>
          <w:szCs w:val="28"/>
          <w:rtl/>
        </w:rPr>
        <w:t>/</w:t>
      </w:r>
    </w:p>
    <w:p w14:paraId="244C9321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</w:t>
      </w:r>
      <w:r>
        <w:rPr>
          <w:rFonts w:ascii="Arial" w:hAnsi="Arial" w:cs="Arial"/>
          <w:b/>
          <w:color w:val="0B2239"/>
          <w:sz w:val="28"/>
          <w:szCs w:val="28"/>
        </w:rPr>
        <w:t>INDIBA FAQs: https://indiba.com/us/faqs</w:t>
      </w:r>
      <w:r>
        <w:rPr>
          <w:rFonts w:ascii="Arial" w:hAnsi="Arial" w:cs="Arial"/>
          <w:b/>
          <w:color w:val="0B2239"/>
          <w:sz w:val="28"/>
          <w:szCs w:val="28"/>
          <w:rtl/>
        </w:rPr>
        <w:t>/</w:t>
      </w:r>
    </w:p>
    <w:p w14:paraId="482FBA6C" w14:textId="77777777" w:rsidR="0033104E" w:rsidRDefault="0033104E" w:rsidP="0033104E">
      <w:pPr>
        <w:bidi/>
        <w:jc w:val="both"/>
        <w:rPr>
          <w:rFonts w:ascii="Arial" w:hAnsi="Arial" w:cs="Arial"/>
          <w:b/>
          <w:color w:val="0B2239"/>
          <w:sz w:val="28"/>
          <w:szCs w:val="28"/>
          <w:rtl/>
        </w:rPr>
      </w:pPr>
      <w:r>
        <w:rPr>
          <w:rFonts w:ascii="Arial" w:hAnsi="Arial" w:cs="Arial"/>
          <w:b/>
          <w:color w:val="0B2239"/>
          <w:sz w:val="28"/>
          <w:szCs w:val="28"/>
          <w:rtl/>
        </w:rPr>
        <w:t xml:space="preserve">• </w:t>
      </w:r>
      <w:r>
        <w:rPr>
          <w:rFonts w:ascii="Arial" w:hAnsi="Arial" w:cs="Arial"/>
          <w:b/>
          <w:color w:val="0B2239"/>
          <w:sz w:val="28"/>
          <w:szCs w:val="28"/>
        </w:rPr>
        <w:t>ASA HIRO TT: https://www.asalaser.com/en/hilterapiar/hiro-tt</w:t>
      </w:r>
    </w:p>
    <w:p w14:paraId="1C6ECFD6" w14:textId="75D68163" w:rsidR="0033104E" w:rsidRPr="0033104E" w:rsidRDefault="0033104E" w:rsidP="0033104E">
      <w:pPr>
        <w:bidi/>
        <w:jc w:val="both"/>
        <w:rPr>
          <w:rFonts w:ascii="Arial" w:hAnsi="Arial" w:cs="Arial"/>
          <w:color w:val="607386"/>
          <w:sz w:val="20"/>
          <w:szCs w:val="20"/>
        </w:rPr>
      </w:pPr>
      <w:r w:rsidRPr="0033104E">
        <w:rPr>
          <w:rFonts w:ascii="Arial" w:hAnsi="Arial" w:cs="Arial"/>
          <w:color w:val="607386"/>
          <w:sz w:val="20"/>
          <w:szCs w:val="20"/>
          <w:rtl/>
        </w:rPr>
        <w:t xml:space="preserve">• </w:t>
      </w:r>
      <w:r w:rsidRPr="0033104E">
        <w:rPr>
          <w:rFonts w:ascii="Arial" w:hAnsi="Arial" w:cs="Arial"/>
          <w:color w:val="607386"/>
          <w:sz w:val="20"/>
          <w:szCs w:val="20"/>
        </w:rPr>
        <w:t>ASA HIRO product flyer: https://www.asalaser.com/sites/default/files/catalogue/hiro_product_flyer</w:t>
      </w:r>
      <w:r w:rsidRPr="0033104E">
        <w:rPr>
          <w:rFonts w:ascii="Arial" w:hAnsi="Arial" w:cs="Arial"/>
          <w:color w:val="607386"/>
          <w:sz w:val="20"/>
          <w:szCs w:val="20"/>
          <w:rtl/>
        </w:rPr>
        <w:t>_</w:t>
      </w:r>
      <w:r w:rsidRPr="0033104E">
        <w:rPr>
          <w:rFonts w:ascii="Arial" w:hAnsi="Arial" w:cs="Arial"/>
          <w:color w:val="607386"/>
          <w:sz w:val="20"/>
          <w:szCs w:val="20"/>
        </w:rPr>
        <w:t>en.pdf</w:t>
      </w:r>
    </w:p>
    <w:sectPr w:rsidR="0033104E" w:rsidRPr="0033104E" w:rsidSect="0033104E">
      <w:pgSz w:w="11906" w:h="16838"/>
      <w:pgMar w:top="900" w:right="1100" w:bottom="9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4E"/>
    <w:rsid w:val="0033104E"/>
    <w:rsid w:val="007C768D"/>
    <w:rsid w:val="009D4BD9"/>
    <w:rsid w:val="009F2100"/>
    <w:rsid w:val="00CE4140"/>
    <w:rsid w:val="00D1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33C9"/>
  <w15:chartTrackingRefBased/>
  <w15:docId w15:val="{DF2B112D-D70A-45E2-9E55-194C3A86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2026-10-03T05:21:00Z</dcterms:created>
  <dcterms:modified xsi:type="dcterms:W3CDTF">2026-10-03T05:21:00Z</dcterms:modified>
</cp:coreProperties>
</file>