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color w:val="102C57"/>
          <w:sz w:val="48"/>
        </w:rPr>
        <w:t>Freight Rate Prediction — Technical Report</w:t>
      </w:r>
    </w:p>
    <w:p>
      <w:pPr>
        <w:spacing w:after="360"/>
      </w:pPr>
      <w:r>
        <w:rPr>
          <w:rFonts w:ascii="Arial" w:hAnsi="Arial"/>
          <w:i/>
          <w:color w:val="35598E"/>
          <w:sz w:val="24"/>
        </w:rPr>
        <w:t>Spotter Machine Learning Assessment Solution</w:t>
      </w:r>
    </w:p>
    <w:p>
      <w:pPr>
        <w:spacing w:before="320" w:after="120"/>
      </w:pPr>
      <w:r>
        <w:rPr>
          <w:rFonts w:ascii="Arial" w:hAnsi="Arial"/>
          <w:b/>
          <w:color w:val="102C57"/>
          <w:sz w:val="32"/>
        </w:rPr>
        <w:t>1. Executive Summary</w:t>
      </w:r>
    </w:p>
    <w:p>
      <w:pPr>
        <w:spacing w:after="120" w:line="276" w:lineRule="auto"/>
      </w:pPr>
      <w:r>
        <w:rPr>
          <w:rFonts w:ascii="Arial" w:hAnsi="Arial"/>
          <w:color w:val="212529"/>
          <w:sz w:val="21"/>
        </w:rPr>
        <w:t>This report outlines the machine learning solution for the Spotter Freight Rate Prediction challenge. Using end-to-end MLOps practices, we developed a production-ready freight pricing pipeline that predicts spot market rates (posted_rate) based on lane distance, equipment type, load weight, market index signals, quote signals, and temporal characteristics.</w:t>
      </w:r>
    </w:p>
    <w:p>
      <w:pPr>
        <w:spacing w:after="240"/>
      </w:pPr>
      <w:r>
        <w:rPr>
          <w:rFonts w:ascii="Arial" w:hAnsi="Arial"/>
          <w:b/>
          <w:color w:val="102C57"/>
          <w:sz w:val="21"/>
        </w:rPr>
        <w:t>Primary Model: CatBoost Regressor  |  Validation MAE: $133.49  |  R²: 0.8365  |  RMSE: $607.06  |  MedAE: $58.18</w:t>
      </w:r>
    </w:p>
    <w:p>
      <w:pPr>
        <w:spacing w:before="320" w:after="120"/>
      </w:pPr>
      <w:r>
        <w:rPr>
          <w:rFonts w:ascii="Arial" w:hAnsi="Arial"/>
          <w:b/>
          <w:color w:val="102C57"/>
          <w:sz w:val="32"/>
        </w:rPr>
        <w:t>2. Exploratory Data Analysis &amp; Data Quality Findings</w:t>
      </w:r>
    </w:p>
    <w:p>
      <w:pPr>
        <w:spacing w:after="120" w:line="276" w:lineRule="auto"/>
      </w:pPr>
      <w:r>
        <w:rPr>
          <w:rFonts w:ascii="Arial" w:hAnsi="Arial"/>
          <w:color w:val="212529"/>
          <w:sz w:val="21"/>
        </w:rPr>
        <w:t>Exploratory analysis identified key data characteristics and anomaly patterns across the datasets: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02C57"/>
          </w:tcPr>
          <w:p>
            <w:r>
              <w:rPr>
                <w:b/>
                <w:color w:val="FFFFFF"/>
              </w:rPr>
              <w:t>Aspect / Metric</w:t>
            </w:r>
          </w:p>
        </w:tc>
        <w:tc>
          <w:tcPr>
            <w:tcW w:type="dxa" w:w="3312"/>
            <w:shd w:fill="102C57"/>
          </w:tcPr>
          <w:p>
            <w:r>
              <w:rPr>
                <w:b/>
                <w:color w:val="FFFFFF"/>
              </w:rPr>
              <w:t>Observation / Value</w:t>
            </w:r>
          </w:p>
        </w:tc>
        <w:tc>
          <w:tcPr>
            <w:tcW w:type="dxa" w:w="3312"/>
            <w:shd w:fill="102C57"/>
          </w:tcPr>
          <w:p>
            <w:r>
              <w:rPr>
                <w:b/>
                <w:color w:val="FFFFFF"/>
              </w:rPr>
              <w:t>Action Taken</w:t>
            </w:r>
          </w:p>
        </w:tc>
      </w:tr>
      <w:tr>
        <w:tc>
          <w:tcPr>
            <w:tcW w:type="dxa" w:w="3312"/>
            <w:shd w:fill="F1F3F5"/>
          </w:tcPr>
          <w:p>
            <w:r>
              <w:rPr>
                <w:rFonts w:ascii="Arial" w:hAnsi="Arial"/>
                <w:sz w:val="19"/>
              </w:rPr>
              <w:t>Training Sample Size</w:t>
            </w:r>
          </w:p>
        </w:tc>
        <w:tc>
          <w:tcPr>
            <w:tcW w:type="dxa" w:w="3312"/>
            <w:shd w:fill="F1F3F5"/>
          </w:tcPr>
          <w:p>
            <w:r>
              <w:rPr>
                <w:rFonts w:ascii="Arial" w:hAnsi="Arial"/>
                <w:sz w:val="19"/>
              </w:rPr>
              <w:t>48,000 loads (Jan 1, 2025 – Oct 31, 2025)</w:t>
            </w:r>
          </w:p>
        </w:tc>
        <w:tc>
          <w:tcPr>
            <w:tcW w:type="dxa" w:w="3312"/>
            <w:shd w:fill="F1F3F5"/>
          </w:tcPr>
          <w:p>
            <w:r>
              <w:rPr>
                <w:rFonts w:ascii="Arial" w:hAnsi="Arial"/>
                <w:sz w:val="19"/>
              </w:rPr>
              <w:t>Used for Time-Series CV training</w:t>
            </w:r>
          </w:p>
        </w:tc>
      </w:tr>
      <w:tr>
        <w:tc>
          <w:tcPr>
            <w:tcW w:type="dxa" w:w="3312"/>
          </w:tcPr>
          <w:p>
            <w:r>
              <w:rPr>
                <w:rFonts w:ascii="Arial" w:hAnsi="Arial"/>
                <w:sz w:val="19"/>
              </w:rPr>
              <w:t>Validation Sample Size</w:t>
            </w:r>
          </w:p>
        </w:tc>
        <w:tc>
          <w:tcPr>
            <w:tcW w:type="dxa" w:w="3312"/>
          </w:tcPr>
          <w:p>
            <w:r>
              <w:rPr>
                <w:rFonts w:ascii="Arial" w:hAnsi="Arial"/>
                <w:sz w:val="19"/>
              </w:rPr>
              <w:t>12,000 loads (Nov 1, 2025 – Nov 30, 2025)</w:t>
            </w:r>
          </w:p>
        </w:tc>
        <w:tc>
          <w:tcPr>
            <w:tcW w:type="dxa" w:w="3312"/>
          </w:tcPr>
          <w:p>
            <w:r>
              <w:rPr>
                <w:rFonts w:ascii="Arial" w:hAnsi="Arial"/>
                <w:sz w:val="19"/>
              </w:rPr>
              <w:t>Target prediction set (validation_predictions.csv)</w:t>
            </w:r>
          </w:p>
        </w:tc>
      </w:tr>
      <w:tr>
        <w:tc>
          <w:tcPr>
            <w:tcW w:type="dxa" w:w="3312"/>
            <w:shd w:fill="F1F3F5"/>
          </w:tcPr>
          <w:p>
            <w:r>
              <w:rPr>
                <w:rFonts w:ascii="Arial" w:hAnsi="Arial"/>
                <w:sz w:val="19"/>
              </w:rPr>
              <w:t>December Forecast Target</w:t>
            </w:r>
          </w:p>
        </w:tc>
        <w:tc>
          <w:tcPr>
            <w:tcW w:type="dxa" w:w="3312"/>
            <w:shd w:fill="F1F3F5"/>
          </w:tcPr>
          <w:p>
            <w:r>
              <w:rPr>
                <w:rFonts w:ascii="Arial" w:hAnsi="Arial"/>
                <w:sz w:val="19"/>
              </w:rPr>
              <w:t>31 loads (Dec 1, 2025 – Dec 31, 2025)</w:t>
            </w:r>
          </w:p>
        </w:tc>
        <w:tc>
          <w:tcPr>
            <w:tcW w:type="dxa" w:w="3312"/>
            <w:shd w:fill="F1F3F5"/>
          </w:tcPr>
          <w:p>
            <w:r>
              <w:rPr>
                <w:rFonts w:ascii="Arial" w:hAnsi="Arial"/>
                <w:sz w:val="19"/>
              </w:rPr>
              <w:t>Lexington -&gt; Fort Wayne fixed lane forecast</w:t>
            </w:r>
          </w:p>
        </w:tc>
      </w:tr>
      <w:tr>
        <w:tc>
          <w:tcPr>
            <w:tcW w:type="dxa" w:w="3312"/>
          </w:tcPr>
          <w:p>
            <w:r>
              <w:rPr>
                <w:rFonts w:ascii="Arial" w:hAnsi="Arial"/>
                <w:sz w:val="19"/>
              </w:rPr>
              <w:t>Negative Weights</w:t>
            </w:r>
          </w:p>
        </w:tc>
        <w:tc>
          <w:tcPr>
            <w:tcW w:type="dxa" w:w="3312"/>
          </w:tcPr>
          <w:p>
            <w:r>
              <w:rPr>
                <w:rFonts w:ascii="Arial" w:hAnsi="Arial"/>
                <w:sz w:val="19"/>
              </w:rPr>
              <w:t>292 rows in training set (e.g. -47,500 lbs)</w:t>
            </w:r>
          </w:p>
        </w:tc>
        <w:tc>
          <w:tcPr>
            <w:tcW w:type="dxa" w:w="3312"/>
          </w:tcPr>
          <w:p>
            <w:r>
              <w:rPr>
                <w:rFonts w:ascii="Arial" w:hAnsi="Arial"/>
                <w:sz w:val="19"/>
              </w:rPr>
              <w:t>Converted to absolute values (.abs())</w:t>
            </w:r>
          </w:p>
        </w:tc>
      </w:tr>
      <w:tr>
        <w:tc>
          <w:tcPr>
            <w:tcW w:type="dxa" w:w="3312"/>
            <w:shd w:fill="F1F3F5"/>
          </w:tcPr>
          <w:p>
            <w:r>
              <w:rPr>
                <w:rFonts w:ascii="Arial" w:hAnsi="Arial"/>
                <w:sz w:val="19"/>
              </w:rPr>
              <w:t>Missing Values</w:t>
            </w:r>
          </w:p>
        </w:tc>
        <w:tc>
          <w:tcPr>
            <w:tcW w:type="dxa" w:w="3312"/>
            <w:shd w:fill="F1F3F5"/>
          </w:tcPr>
          <w:p>
            <w:r>
              <w:rPr>
                <w:rFonts w:ascii="Arial" w:hAnsi="Arial"/>
                <w:sz w:val="19"/>
              </w:rPr>
              <w:t>300 missing weights, 374 missing market indices</w:t>
            </w:r>
          </w:p>
        </w:tc>
        <w:tc>
          <w:tcPr>
            <w:tcW w:type="dxa" w:w="3312"/>
            <w:shd w:fill="F1F3F5"/>
          </w:tcPr>
          <w:p>
            <w:r>
              <w:rPr>
                <w:rFonts w:ascii="Arial" w:hAnsi="Arial"/>
                <w:sz w:val="19"/>
              </w:rPr>
              <w:t>Imputed via equipment medians &amp; forward-fill</w:t>
            </w:r>
          </w:p>
        </w:tc>
      </w:tr>
    </w:tbl>
    <w:p>
      <w:pPr>
        <w:spacing w:after="160"/>
      </w:pPr>
    </w:p>
    <w:p>
      <w:pPr>
        <w:spacing w:before="320" w:after="120"/>
      </w:pPr>
      <w:r>
        <w:rPr>
          <w:rFonts w:ascii="Arial" w:hAnsi="Arial"/>
          <w:b/>
          <w:color w:val="102C57"/>
          <w:sz w:val="32"/>
        </w:rPr>
        <w:t>3. Data Split &amp; Validation Strategy</w:t>
      </w:r>
    </w:p>
    <w:p>
      <w:pPr>
        <w:spacing w:after="120" w:line="276" w:lineRule="auto"/>
      </w:pPr>
      <w:r>
        <w:rPr>
          <w:rFonts w:ascii="Arial" w:hAnsi="Arial"/>
          <w:color w:val="212529"/>
          <w:sz w:val="21"/>
        </w:rPr>
        <w:t>Because freight rates depend on temporal dynamics and market shifts, a standard random K-Fold split would cause data leakage. We implemented a 5-Split TimeSeriesSplit (Expanding Window) where each fold trains strictly on past data and evaluates on future data. The final validation split isolates November 2025 (12,000 loads) to mirror the true out-of-sample evaluation.</w:t>
      </w:r>
    </w:p>
    <w:p>
      <w:pPr>
        <w:spacing w:before="320" w:after="120"/>
      </w:pPr>
      <w:r>
        <w:rPr>
          <w:rFonts w:ascii="Arial" w:hAnsi="Arial"/>
          <w:b/>
          <w:color w:val="102C57"/>
          <w:sz w:val="32"/>
        </w:rPr>
        <w:t>4. Feature Engineering Highlights</w:t>
      </w:r>
    </w:p>
    <w:p>
      <w:pPr>
        <w:spacing w:after="120" w:line="276" w:lineRule="auto"/>
      </w:pPr>
      <w:r>
        <w:t>• Spatial &amp; Geo: Haversine distance, latitude/longitude absolute deltas, distance-to-haversine ratio.</w:t>
      </w:r>
    </w:p>
    <w:p>
      <w:pPr>
        <w:spacing w:after="120" w:line="276" w:lineRule="auto"/>
      </w:pPr>
      <w:r>
        <w:rPr>
          <w:rFonts w:ascii="Arial" w:hAnsi="Arial"/>
          <w:color w:val="212529"/>
          <w:sz w:val="21"/>
        </w:rPr>
        <w:t>• Temporal Features: Cyclical sine/cosine encodings for day of year and day of week, weekend indicator.</w:t>
      </w:r>
    </w:p>
    <w:p>
      <w:pPr>
        <w:spacing w:after="120" w:line="276" w:lineRule="auto"/>
      </w:pPr>
      <w:r>
        <w:rPr>
          <w:rFonts w:ascii="Arial" w:hAnsi="Arial"/>
          <w:color w:val="212529"/>
          <w:sz w:val="21"/>
        </w:rPr>
        <w:t>• Domain Interactions: weight_per_mile (weight / (distance + 1)), dist_x_market (distance * market_index), and log-transformed skewed variables.</w:t>
      </w:r>
    </w:p>
    <w:p>
      <w:pPr>
        <w:spacing w:before="320" w:after="120"/>
      </w:pPr>
      <w:r>
        <w:rPr>
          <w:rFonts w:ascii="Arial" w:hAnsi="Arial"/>
          <w:b/>
          <w:color w:val="102C57"/>
          <w:sz w:val="32"/>
        </w:rPr>
        <w:t>5. Model Benchmarking &amp; MLflow Results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02C57"/>
          </w:tcPr>
          <w:p>
            <w:r>
              <w:rPr>
                <w:b/>
                <w:color w:val="FFFFFF"/>
              </w:rPr>
              <w:t>Model Candidate</w:t>
            </w:r>
          </w:p>
        </w:tc>
        <w:tc>
          <w:tcPr>
            <w:tcW w:type="dxa" w:w="1656"/>
            <w:shd w:fill="102C57"/>
          </w:tcPr>
          <w:p>
            <w:r>
              <w:rPr>
                <w:b/>
                <w:color w:val="FFFFFF"/>
              </w:rPr>
              <w:t>MAE ($)</w:t>
            </w:r>
          </w:p>
        </w:tc>
        <w:tc>
          <w:tcPr>
            <w:tcW w:type="dxa" w:w="1656"/>
            <w:shd w:fill="102C57"/>
          </w:tcPr>
          <w:p>
            <w:r>
              <w:rPr>
                <w:b/>
                <w:color w:val="FFFFFF"/>
              </w:rPr>
              <w:t>RMSE ($)</w:t>
            </w:r>
          </w:p>
        </w:tc>
        <w:tc>
          <w:tcPr>
            <w:tcW w:type="dxa" w:w="1656"/>
            <w:shd w:fill="102C57"/>
          </w:tcPr>
          <w:p>
            <w:r>
              <w:rPr>
                <w:b/>
                <w:color w:val="FFFFFF"/>
              </w:rPr>
              <w:t>R² Score</w:t>
            </w:r>
          </w:p>
        </w:tc>
        <w:tc>
          <w:tcPr>
            <w:tcW w:type="dxa" w:w="1656"/>
            <w:shd w:fill="102C57"/>
          </w:tcPr>
          <w:p>
            <w:r>
              <w:rPr>
                <w:b/>
                <w:color w:val="FFFFFF"/>
              </w:rPr>
              <w:t>MedAE ($)</w:t>
            </w:r>
          </w:p>
        </w:tc>
        <w:tc>
          <w:tcPr>
            <w:tcW w:type="dxa" w:w="1656"/>
            <w:shd w:fill="102C57"/>
          </w:tcPr>
          <w:p>
            <w:r>
              <w:rPr>
                <w:b/>
                <w:color w:val="FFFFFF"/>
              </w:rPr>
              <w:t>MAPE (%)</w:t>
            </w:r>
          </w:p>
        </w:tc>
      </w:tr>
      <w:tr>
        <w:tc>
          <w:tcPr>
            <w:tcW w:type="dxa" w:w="1656"/>
            <w:shd w:fill="E2EFCB"/>
          </w:tcPr>
          <w:p>
            <w:r>
              <w:rPr>
                <w:rFonts w:ascii="Arial" w:hAnsi="Arial"/>
                <w:b/>
                <w:sz w:val="19"/>
              </w:rPr>
              <w:t>CatBoost Regressor (Selected)</w:t>
            </w:r>
          </w:p>
        </w:tc>
        <w:tc>
          <w:tcPr>
            <w:tcW w:type="dxa" w:w="1656"/>
            <w:shd w:fill="E2EFCB"/>
          </w:tcPr>
          <w:p>
            <w:r>
              <w:rPr>
                <w:rFonts w:ascii="Arial" w:hAnsi="Arial"/>
                <w:b/>
                <w:sz w:val="19"/>
              </w:rPr>
              <w:t>$133.49</w:t>
            </w:r>
          </w:p>
        </w:tc>
        <w:tc>
          <w:tcPr>
            <w:tcW w:type="dxa" w:w="1656"/>
            <w:shd w:fill="E2EFCB"/>
          </w:tcPr>
          <w:p>
            <w:r>
              <w:rPr>
                <w:rFonts w:ascii="Arial" w:hAnsi="Arial"/>
                <w:b/>
                <w:sz w:val="19"/>
              </w:rPr>
              <w:t>$607.06</w:t>
            </w:r>
          </w:p>
        </w:tc>
        <w:tc>
          <w:tcPr>
            <w:tcW w:type="dxa" w:w="1656"/>
            <w:shd w:fill="E2EFCB"/>
          </w:tcPr>
          <w:p>
            <w:r>
              <w:rPr>
                <w:rFonts w:ascii="Arial" w:hAnsi="Arial"/>
                <w:b/>
                <w:sz w:val="19"/>
              </w:rPr>
              <w:t>0.8365</w:t>
            </w:r>
          </w:p>
        </w:tc>
        <w:tc>
          <w:tcPr>
            <w:tcW w:type="dxa" w:w="1656"/>
            <w:shd w:fill="E2EFCB"/>
          </w:tcPr>
          <w:p>
            <w:r>
              <w:rPr>
                <w:rFonts w:ascii="Arial" w:hAnsi="Arial"/>
                <w:b/>
                <w:sz w:val="19"/>
              </w:rPr>
              <w:t>$58.18</w:t>
            </w:r>
          </w:p>
        </w:tc>
        <w:tc>
          <w:tcPr>
            <w:tcW w:type="dxa" w:w="1656"/>
            <w:shd w:fill="E2EFCB"/>
          </w:tcPr>
          <w:p>
            <w:r>
              <w:rPr>
                <w:rFonts w:ascii="Arial" w:hAnsi="Arial"/>
                <w:b/>
                <w:sz w:val="19"/>
              </w:rPr>
              <w:t>7.09%</w:t>
            </w:r>
          </w:p>
        </w:tc>
      </w:tr>
      <w:tr>
        <w:tc>
          <w:tcPr>
            <w:tcW w:type="dxa" w:w="1656"/>
            <w:shd w:fill="FFFFFF"/>
          </w:tcPr>
          <w:p>
            <w:r>
              <w:rPr>
                <w:rFonts w:ascii="Arial" w:hAnsi="Arial"/>
                <w:sz w:val="19"/>
              </w:rPr>
              <w:t>Ridge Regression (Baseline)</w:t>
            </w:r>
          </w:p>
        </w:tc>
        <w:tc>
          <w:tcPr>
            <w:tcW w:type="dxa" w:w="1656"/>
            <w:shd w:fill="FFFFFF"/>
          </w:tcPr>
          <w:p>
            <w:r>
              <w:rPr>
                <w:rFonts w:ascii="Arial" w:hAnsi="Arial"/>
                <w:sz w:val="19"/>
              </w:rPr>
              <w:t>$157.41</w:t>
            </w:r>
          </w:p>
        </w:tc>
        <w:tc>
          <w:tcPr>
            <w:tcW w:type="dxa" w:w="1656"/>
            <w:shd w:fill="FFFFFF"/>
          </w:tcPr>
          <w:p>
            <w:r>
              <w:rPr>
                <w:rFonts w:ascii="Arial" w:hAnsi="Arial"/>
                <w:sz w:val="19"/>
              </w:rPr>
              <w:t>$617.19</w:t>
            </w:r>
          </w:p>
        </w:tc>
        <w:tc>
          <w:tcPr>
            <w:tcW w:type="dxa" w:w="1656"/>
            <w:shd w:fill="FFFFFF"/>
          </w:tcPr>
          <w:p>
            <w:r>
              <w:rPr>
                <w:rFonts w:ascii="Arial" w:hAnsi="Arial"/>
                <w:sz w:val="19"/>
              </w:rPr>
              <w:t>0.8310</w:t>
            </w:r>
          </w:p>
        </w:tc>
        <w:tc>
          <w:tcPr>
            <w:tcW w:type="dxa" w:w="1656"/>
            <w:shd w:fill="FFFFFF"/>
          </w:tcPr>
          <w:p>
            <w:r>
              <w:rPr>
                <w:rFonts w:ascii="Arial" w:hAnsi="Arial"/>
                <w:sz w:val="19"/>
              </w:rPr>
              <w:t>$76.40</w:t>
            </w:r>
          </w:p>
        </w:tc>
        <w:tc>
          <w:tcPr>
            <w:tcW w:type="dxa" w:w="1656"/>
            <w:shd w:fill="FFFFFF"/>
          </w:tcPr>
          <w:p>
            <w:r>
              <w:rPr>
                <w:rFonts w:ascii="Arial" w:hAnsi="Arial"/>
                <w:sz w:val="19"/>
              </w:rPr>
              <w:t>8.37%</w:t>
            </w:r>
          </w:p>
        </w:tc>
      </w:tr>
      <w:tr>
        <w:tc>
          <w:tcPr>
            <w:tcW w:type="dxa" w:w="1656"/>
            <w:shd w:fill="F1F3F5"/>
          </w:tcPr>
          <w:p>
            <w:r>
              <w:rPr>
                <w:rFonts w:ascii="Arial" w:hAnsi="Arial"/>
                <w:sz w:val="19"/>
              </w:rPr>
              <w:t>LightGBM Regressor</w:t>
            </w:r>
          </w:p>
        </w:tc>
        <w:tc>
          <w:tcPr>
            <w:tcW w:type="dxa" w:w="1656"/>
            <w:shd w:fill="F1F3F5"/>
          </w:tcPr>
          <w:p>
            <w:r>
              <w:rPr>
                <w:rFonts w:ascii="Arial" w:hAnsi="Arial"/>
                <w:sz w:val="19"/>
              </w:rPr>
              <w:t>$179.57</w:t>
            </w:r>
          </w:p>
        </w:tc>
        <w:tc>
          <w:tcPr>
            <w:tcW w:type="dxa" w:w="1656"/>
            <w:shd w:fill="F1F3F5"/>
          </w:tcPr>
          <w:p>
            <w:r>
              <w:rPr>
                <w:rFonts w:ascii="Arial" w:hAnsi="Arial"/>
                <w:sz w:val="19"/>
              </w:rPr>
              <w:t>$640.08</w:t>
            </w:r>
          </w:p>
        </w:tc>
        <w:tc>
          <w:tcPr>
            <w:tcW w:type="dxa" w:w="1656"/>
            <w:shd w:fill="F1F3F5"/>
          </w:tcPr>
          <w:p>
            <w:r>
              <w:rPr>
                <w:rFonts w:ascii="Arial" w:hAnsi="Arial"/>
                <w:sz w:val="19"/>
              </w:rPr>
              <w:t>0.8182</w:t>
            </w:r>
          </w:p>
        </w:tc>
        <w:tc>
          <w:tcPr>
            <w:tcW w:type="dxa" w:w="1656"/>
            <w:shd w:fill="F1F3F5"/>
          </w:tcPr>
          <w:p>
            <w:r>
              <w:rPr>
                <w:rFonts w:ascii="Arial" w:hAnsi="Arial"/>
                <w:sz w:val="19"/>
              </w:rPr>
              <w:t>$74.52</w:t>
            </w:r>
          </w:p>
        </w:tc>
        <w:tc>
          <w:tcPr>
            <w:tcW w:type="dxa" w:w="1656"/>
            <w:shd w:fill="F1F3F5"/>
          </w:tcPr>
          <w:p>
            <w:r>
              <w:rPr>
                <w:rFonts w:ascii="Arial" w:hAnsi="Arial"/>
                <w:sz w:val="19"/>
              </w:rPr>
              <w:t>8.44%</w:t>
            </w:r>
          </w:p>
        </w:tc>
      </w:tr>
      <w:tr>
        <w:tc>
          <w:tcPr>
            <w:tcW w:type="dxa" w:w="1656"/>
            <w:shd w:fill="FFFFFF"/>
          </w:tcPr>
          <w:p>
            <w:r>
              <w:rPr>
                <w:rFonts w:ascii="Arial" w:hAnsi="Arial"/>
                <w:sz w:val="19"/>
              </w:rPr>
              <w:t>XGBoost Regressor</w:t>
            </w:r>
          </w:p>
        </w:tc>
        <w:tc>
          <w:tcPr>
            <w:tcW w:type="dxa" w:w="1656"/>
            <w:shd w:fill="FFFFFF"/>
          </w:tcPr>
          <w:p>
            <w:r>
              <w:rPr>
                <w:rFonts w:ascii="Arial" w:hAnsi="Arial"/>
                <w:sz w:val="19"/>
              </w:rPr>
              <w:t>$242.52</w:t>
            </w:r>
          </w:p>
        </w:tc>
        <w:tc>
          <w:tcPr>
            <w:tcW w:type="dxa" w:w="1656"/>
            <w:shd w:fill="FFFFFF"/>
          </w:tcPr>
          <w:p>
            <w:r>
              <w:rPr>
                <w:rFonts w:ascii="Arial" w:hAnsi="Arial"/>
                <w:sz w:val="19"/>
              </w:rPr>
              <w:t>$718.55</w:t>
            </w:r>
          </w:p>
        </w:tc>
        <w:tc>
          <w:tcPr>
            <w:tcW w:type="dxa" w:w="1656"/>
            <w:shd w:fill="FFFFFF"/>
          </w:tcPr>
          <w:p>
            <w:r>
              <w:rPr>
                <w:rFonts w:ascii="Arial" w:hAnsi="Arial"/>
                <w:sz w:val="19"/>
              </w:rPr>
              <w:t>0.7709</w:t>
            </w:r>
          </w:p>
        </w:tc>
        <w:tc>
          <w:tcPr>
            <w:tcW w:type="dxa" w:w="1656"/>
            <w:shd w:fill="FFFFFF"/>
          </w:tcPr>
          <w:p>
            <w:r>
              <w:rPr>
                <w:rFonts w:ascii="Arial" w:hAnsi="Arial"/>
                <w:sz w:val="19"/>
              </w:rPr>
              <w:t>$103.20</w:t>
            </w:r>
          </w:p>
        </w:tc>
        <w:tc>
          <w:tcPr>
            <w:tcW w:type="dxa" w:w="1656"/>
            <w:shd w:fill="FFFFFF"/>
          </w:tcPr>
          <w:p>
            <w:r>
              <w:rPr>
                <w:rFonts w:ascii="Arial" w:hAnsi="Arial"/>
                <w:sz w:val="19"/>
              </w:rPr>
              <w:t>11.77%</w:t>
            </w:r>
          </w:p>
        </w:tc>
      </w:tr>
    </w:tbl>
    <w:p>
      <w:pPr>
        <w:spacing w:after="240"/>
      </w:pPr>
    </w:p>
    <w:p>
      <w:pPr>
        <w:spacing w:before="320" w:after="120"/>
      </w:pPr>
      <w:r>
        <w:rPr>
          <w:rFonts w:ascii="Arial" w:hAnsi="Arial"/>
          <w:b/>
          <w:color w:val="102C57"/>
          <w:sz w:val="32"/>
        </w:rPr>
        <w:t>6. Fixed December Lane Forecast Analysis</w:t>
      </w:r>
    </w:p>
    <w:p>
      <w:pPr>
        <w:spacing w:after="120" w:line="276" w:lineRule="auto"/>
      </w:pPr>
      <w:r>
        <w:rPr>
          <w:rFonts w:ascii="Arial" w:hAnsi="Arial"/>
          <w:color w:val="212529"/>
          <w:sz w:val="21"/>
        </w:rPr>
        <w:t>For December 2025, inputs were held fixed for the Lexington, KY to Fort Wayne, IN route (360 miles, Dry Van, 32,000 lbs). Below is the daily rate forecast plot produced by score.py, illustrating day-of-week demand seasonality:</w:t>
      </w:r>
    </w:p>
    <w:p>
      <w:pPr>
        <w:jc w:val="center"/>
      </w:pPr>
      <w:r>
        <w:drawing>
          <wp:inline xmlns:a="http://schemas.openxmlformats.org/drawingml/2006/main" xmlns:pic="http://schemas.openxmlformats.org/drawingml/2006/picture">
            <wp:extent cx="5669280" cy="1846498"/>
            <wp:docPr id="1" name="Picture 1"/>
            <wp:cNvGraphicFramePr>
              <a:graphicFrameLocks noChangeAspect="1"/>
            </wp:cNvGraphicFramePr>
            <a:graphic>
              <a:graphicData uri="http://schemas.openxmlformats.org/drawingml/2006/picture">
                <pic:pic>
                  <pic:nvPicPr>
                    <pic:cNvPr id="0" name="candidate_december.png"/>
                    <pic:cNvPicPr/>
                  </pic:nvPicPr>
                  <pic:blipFill>
                    <a:blip r:embed="rId9"/>
                    <a:stretch>
                      <a:fillRect/>
                    </a:stretch>
                  </pic:blipFill>
                  <pic:spPr>
                    <a:xfrm>
                      <a:off x="0" y="0"/>
                      <a:ext cx="5669280" cy="1846498"/>
                    </a:xfrm>
                    <a:prstGeom prst="rect"/>
                  </pic:spPr>
                </pic:pic>
              </a:graphicData>
            </a:graphic>
          </wp:inline>
        </w:drawing>
      </w:r>
    </w:p>
    <w:p>
      <w:pPr>
        <w:spacing w:after="280"/>
        <w:jc w:val="center"/>
      </w:pPr>
      <w:r>
        <w:rPr>
          <w:rFonts w:ascii="Arial" w:hAnsi="Arial"/>
          <w:i/>
          <w:color w:val="35598E"/>
          <w:sz w:val="18"/>
        </w:rPr>
        <w:t>Figure 1: CatBoost December 2025 Daily Forecast for Lexington -&gt; Fort Wayne Lane</w:t>
      </w:r>
    </w:p>
    <w:p>
      <w:pPr>
        <w:spacing w:before="320" w:after="120"/>
      </w:pPr>
      <w:r>
        <w:rPr>
          <w:rFonts w:ascii="Arial" w:hAnsi="Arial"/>
          <w:b/>
          <w:color w:val="102C57"/>
          <w:sz w:val="32"/>
        </w:rPr>
        <w:t>7. MLOps &amp; System Reproducibility</w:t>
      </w:r>
    </w:p>
    <w:p>
      <w:pPr>
        <w:spacing w:after="120" w:line="276" w:lineRule="auto"/>
      </w:pPr>
      <w:r>
        <w:rPr>
          <w:rFonts w:ascii="Arial" w:hAnsi="Arial"/>
          <w:color w:val="212529"/>
          <w:sz w:val="21"/>
        </w:rPr>
        <w:t>• DVC Data Versioning: Managed cleaning, featurization, and prediction pipelines in dvc.yaml.</w:t>
      </w:r>
    </w:p>
    <w:p>
      <w:pPr>
        <w:spacing w:after="120" w:line="276" w:lineRule="auto"/>
      </w:pPr>
      <w:r>
        <w:rPr>
          <w:rFonts w:ascii="Arial" w:hAnsi="Arial"/>
          <w:color w:val="212529"/>
          <w:sz w:val="21"/>
        </w:rPr>
        <w:t>• MLflow Experiment Tracking: Logged hyperparameters, cross-validation metrics, and model artifacts.</w:t>
      </w:r>
    </w:p>
    <w:p>
      <w:pPr>
        <w:spacing w:after="120" w:line="276" w:lineRule="auto"/>
      </w:pPr>
      <w:r>
        <w:rPr>
          <w:rFonts w:ascii="Arial" w:hAnsi="Arial"/>
          <w:color w:val="212529"/>
          <w:sz w:val="21"/>
        </w:rPr>
        <w:t>• FastAPI Serving: REST service supporting single (/predict) and batch (/predict/batch) inference endpoints.</w:t>
      </w:r>
    </w:p>
    <w:p>
      <w:pPr>
        <w:spacing w:after="120" w:line="276" w:lineRule="auto"/>
      </w:pPr>
      <w:r>
        <w:rPr>
          <w:rFonts w:ascii="Arial" w:hAnsi="Arial"/>
          <w:color w:val="212529"/>
          <w:sz w:val="21"/>
        </w:rPr>
        <w:t>• Docker Containerization: Dockerfile &amp; docker-compose.yml for environment isolation.</w:t>
      </w:r>
    </w:p>
    <w:p>
      <w:pPr>
        <w:spacing w:after="120" w:line="276" w:lineRule="auto"/>
      </w:pPr>
      <w:r>
        <w:rPr>
          <w:rFonts w:ascii="Arial" w:hAnsi="Arial"/>
          <w:color w:val="212529"/>
          <w:sz w:val="21"/>
        </w:rPr>
        <w:t>• Pytest Automated Verification: 100% passing test suite for data transformations, features, and API schemas.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