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200"/>
        <w:jc w:val="center"/>
      </w:pPr>
      <w:r>
        <w:drawing>
          <wp:inline xmlns:a="http://schemas.openxmlformats.org/drawingml/2006/main" xmlns:pic="http://schemas.openxmlformats.org/drawingml/2006/picture">
            <wp:extent cx="1325880" cy="1325880"/>
            <wp:docPr id="1" name="Picture 1" descr="Image: image1.png"/>
            <wp:cNvGraphicFramePr>
              <a:graphicFrameLocks noChangeAspect="1"/>
            </wp:cNvGraphicFramePr>
            <a:graphic>
              <a:graphicData uri="http://schemas.openxmlformats.org/drawingml/2006/picture">
                <pic:pic>
                  <pic:nvPicPr>
                    <pic:cNvPr id="0" name="mahmoud-salama-logo-optimized.png"/>
                    <pic:cNvPicPr/>
                  </pic:nvPicPr>
                  <pic:blipFill>
                    <a:blip r:embed="rId11"/>
                    <a:stretch>
                      <a:fillRect/>
                    </a:stretch>
                  </pic:blipFill>
                  <pic:spPr>
                    <a:xfrm>
                      <a:off x="0" y="0"/>
                      <a:ext cx="1325880" cy="1325880"/>
                    </a:xfrm>
                    <a:prstGeom prst="rect"/>
                  </pic:spPr>
                </pic:pic>
              </a:graphicData>
            </a:graphic>
          </wp:inline>
        </w:drawing>
      </w:r>
    </w:p>
    <w:p>
      <w:pPr>
        <w:widowControl/>
        <w:spacing w:before="200" w:after="60"/>
        <w:jc w:val="center"/>
      </w:pPr>
      <w:r>
        <w:rPr>
          <w:rFonts w:ascii="Aptos Display" w:hAnsi="Aptos Display"/>
          <w:b/>
          <w:color w:val="0B1F33"/>
          <w:sz w:val="56"/>
        </w:rPr>
        <w:t>SELECTED WRITING SAMPLE</w:t>
      </w:r>
    </w:p>
    <w:p>
      <w:pPr>
        <w:widowControl/>
        <w:spacing w:after="240"/>
        <w:jc w:val="center"/>
      </w:pPr>
      <w:r>
        <w:rPr>
          <w:rFonts w:ascii="Aptos Display" w:hAnsi="Aptos Display"/>
          <w:b/>
          <w:color w:val="0F766E"/>
          <w:sz w:val="40"/>
        </w:rPr>
        <w:t>&amp; EXECUTIVE TECHNOLOGY PORTFOLIO</w:t>
      </w:r>
    </w:p>
    <w:tbl>
      <w:tblPr>
        <w:tblW w:type="auto" w:w="0"/>
        <w:jc w:val="center"/>
        <w:tblLook w:firstColumn="1" w:firstRow="1" w:lastColumn="0" w:lastRow="0" w:noHBand="0" w:noVBand="1" w:val="04A0"/>
      </w:tblPr>
      <w:tblGrid>
        <w:gridCol w:w="10037"/>
      </w:tblGrid>
      <w:tr>
        <w:tc>
          <w:tcPr>
            <w:tcW w:type="dxa" w:w="10037"/>
            <w:shd w:fill="0B1F33"/>
            <w:tcMar>
              <w:top w:w="150" w:type="dxa"/>
              <w:start w:w="180" w:type="dxa"/>
              <w:bottom w:w="150" w:type="dxa"/>
              <w:end w:w="180" w:type="dxa"/>
            </w:tcMar>
            <w:tcBorders>
              <w:top w:val="single" w:sz="8" w:color="C79A3B"/>
              <w:bottom w:val="single" w:sz="8" w:color="C79A3B"/>
              <w:left w:val="nil"/>
              <w:right w:val="nil"/>
            </w:tcBorders>
          </w:tcPr>
          <w:p>
            <w:pPr>
              <w:spacing w:after="0"/>
              <w:jc w:val="center"/>
            </w:pPr>
            <w:r>
              <w:rPr>
                <w:b/>
                <w:color w:val="FFFFFF"/>
                <w:sz w:val="19"/>
              </w:rPr>
              <w:t>DIGITAL TRANSFORMATION  |  ENTERPRISE ARCHITECTURE  |  DATA &amp; INTEGRATION  |  PROGRAM DELIVERY</w:t>
            </w:r>
          </w:p>
        </w:tc>
      </w:tr>
    </w:tbl>
    <w:p>
      <w:pPr>
        <w:widowControl/>
      </w:pPr>
    </w:p>
    <w:p>
      <w:pPr>
        <w:widowControl/>
      </w:pPr>
    </w:p>
    <w:p>
      <w:pPr>
        <w:widowControl/>
        <w:spacing w:after="60"/>
        <w:jc w:val="center"/>
      </w:pPr>
      <w:r>
        <w:rPr>
          <w:rFonts w:ascii="Aptos Display" w:hAnsi="Aptos Display"/>
          <w:b/>
          <w:color w:val="0B1F33"/>
          <w:sz w:val="44"/>
        </w:rPr>
        <w:t>Mahmoud Salama</w:t>
      </w:r>
    </w:p>
    <w:p>
      <w:pPr>
        <w:widowControl/>
        <w:spacing w:after="160"/>
        <w:jc w:val="center"/>
      </w:pPr>
      <w:r>
        <w:rPr>
          <w:color w:val="2563EB"/>
          <w:sz w:val="23"/>
        </w:rPr>
        <w:t>Chief Technology &amp; Digital Transformation Officer | Enterprise Architect</w:t>
      </w:r>
    </w:p>
    <w:tbl>
      <w:tblPr>
        <w:tblW w:type="auto" w:w="0"/>
        <w:jc w:val="center"/>
        <w:tblLayout w:type="fixed"/>
        <w:tblLook w:firstColumn="1" w:firstRow="1" w:lastColumn="0" w:lastRow="0" w:noHBand="0" w:noVBand="1" w:val="04A0"/>
      </w:tblPr>
      <w:tblGrid>
        <w:gridCol w:w="2509"/>
        <w:gridCol w:w="2509"/>
        <w:gridCol w:w="2509"/>
        <w:gridCol w:w="2509"/>
      </w:tblGrid>
      <w:tr>
        <w:tc>
          <w:tcPr>
            <w:tcW w:type="dxa" w:w="2502"/>
            <w:shd w:fill="16324F"/>
            <w:tcMar>
              <w:top w:w="120" w:type="dxa"/>
              <w:start w:w="80" w:type="dxa"/>
              <w:bottom w:w="120" w:type="dxa"/>
              <w:end w:w="80" w:type="dxa"/>
            </w:tcMar>
            <w:tcBorders>
              <w:top w:val="single" w:sz="4" w:color="FFFFFF"/>
              <w:bottom w:val="single" w:sz="4" w:color="FFFFFF"/>
              <w:left w:val="single" w:sz="4" w:color="FFFFFF"/>
              <w:right w:val="single" w:sz="4" w:color="FFFFFF"/>
            </w:tcBorders>
          </w:tcPr>
          <w:p>
            <w:pPr>
              <w:spacing w:after="20"/>
              <w:jc w:val="center"/>
            </w:pPr>
            <w:r>
              <w:rPr>
                <w:b/>
                <w:color w:val="FFFFFF"/>
                <w:sz w:val="34"/>
              </w:rPr>
              <w:t>18+</w:t>
            </w:r>
          </w:p>
          <w:p>
            <w:pPr>
              <w:spacing w:after="0"/>
              <w:jc w:val="center"/>
            </w:pPr>
            <w:r>
              <w:rPr>
                <w:color w:val="D9E7F5"/>
                <w:sz w:val="15"/>
              </w:rPr>
              <w:t>Years in technology</w:t>
            </w:r>
          </w:p>
        </w:tc>
        <w:tc>
          <w:tcPr>
            <w:tcW w:type="dxa" w:w="2502"/>
            <w:shd w:fill="0B5E59"/>
            <w:tcMar>
              <w:top w:w="120" w:type="dxa"/>
              <w:start w:w="80" w:type="dxa"/>
              <w:bottom w:w="120" w:type="dxa"/>
              <w:end w:w="80" w:type="dxa"/>
            </w:tcMar>
            <w:tcBorders>
              <w:top w:val="single" w:sz="4" w:color="FFFFFF"/>
              <w:bottom w:val="single" w:sz="4" w:color="FFFFFF"/>
              <w:left w:val="single" w:sz="4" w:color="FFFFFF"/>
              <w:right w:val="single" w:sz="4" w:color="FFFFFF"/>
            </w:tcBorders>
          </w:tcPr>
          <w:p>
            <w:pPr>
              <w:spacing w:after="20"/>
              <w:jc w:val="center"/>
            </w:pPr>
            <w:r>
              <w:rPr>
                <w:b/>
                <w:color w:val="FFFFFF"/>
                <w:sz w:val="34"/>
              </w:rPr>
              <w:t>150+</w:t>
            </w:r>
          </w:p>
          <w:p>
            <w:pPr>
              <w:spacing w:after="0"/>
              <w:jc w:val="center"/>
            </w:pPr>
            <w:r>
              <w:rPr>
                <w:color w:val="D9E7F5"/>
                <w:sz w:val="15"/>
              </w:rPr>
              <w:t>Digital projects</w:t>
            </w:r>
          </w:p>
        </w:tc>
        <w:tc>
          <w:tcPr>
            <w:tcW w:type="dxa" w:w="2502"/>
            <w:shd w:fill="16324F"/>
            <w:tcMar>
              <w:top w:w="120" w:type="dxa"/>
              <w:start w:w="80" w:type="dxa"/>
              <w:bottom w:w="120" w:type="dxa"/>
              <w:end w:w="80" w:type="dxa"/>
            </w:tcMar>
            <w:tcBorders>
              <w:top w:val="single" w:sz="4" w:color="FFFFFF"/>
              <w:bottom w:val="single" w:sz="4" w:color="FFFFFF"/>
              <w:left w:val="single" w:sz="4" w:color="FFFFFF"/>
              <w:right w:val="single" w:sz="4" w:color="FFFFFF"/>
            </w:tcBorders>
          </w:tcPr>
          <w:p>
            <w:pPr>
              <w:spacing w:after="20"/>
              <w:jc w:val="center"/>
            </w:pPr>
            <w:r>
              <w:rPr>
                <w:b/>
                <w:color w:val="FFFFFF"/>
                <w:sz w:val="34"/>
              </w:rPr>
              <w:t>EGP 150M+</w:t>
            </w:r>
          </w:p>
          <w:p>
            <w:pPr>
              <w:spacing w:after="0"/>
              <w:jc w:val="center"/>
            </w:pPr>
            <w:r>
              <w:rPr>
                <w:color w:val="D9E7F5"/>
                <w:sz w:val="15"/>
              </w:rPr>
              <w:t>Technology portfolio</w:t>
            </w:r>
          </w:p>
        </w:tc>
        <w:tc>
          <w:tcPr>
            <w:tcW w:type="dxa" w:w="2502"/>
            <w:shd w:fill="0B5E59"/>
            <w:tcMar>
              <w:top w:w="120" w:type="dxa"/>
              <w:start w:w="80" w:type="dxa"/>
              <w:bottom w:w="120" w:type="dxa"/>
              <w:end w:w="80" w:type="dxa"/>
            </w:tcMar>
            <w:tcBorders>
              <w:top w:val="single" w:sz="4" w:color="FFFFFF"/>
              <w:bottom w:val="single" w:sz="4" w:color="FFFFFF"/>
              <w:left w:val="single" w:sz="4" w:color="FFFFFF"/>
              <w:right w:val="single" w:sz="4" w:color="FFFFFF"/>
            </w:tcBorders>
          </w:tcPr>
          <w:p>
            <w:pPr>
              <w:spacing w:after="20"/>
              <w:jc w:val="center"/>
            </w:pPr>
            <w:r>
              <w:rPr>
                <w:b/>
                <w:color w:val="FFFFFF"/>
                <w:sz w:val="34"/>
              </w:rPr>
              <w:t>40+</w:t>
            </w:r>
          </w:p>
          <w:p>
            <w:pPr>
              <w:spacing w:after="0"/>
              <w:jc w:val="center"/>
            </w:pPr>
            <w:r>
              <w:rPr>
                <w:color w:val="D9E7F5"/>
                <w:sz w:val="15"/>
              </w:rPr>
              <w:t>Professionals led</w:t>
            </w:r>
          </w:p>
        </w:tc>
      </w:tr>
    </w:tbl>
    <w:p>
      <w:pPr>
        <w:widowControl/>
      </w:pPr>
    </w:p>
    <w:p>
      <w:pPr>
        <w:widowControl/>
        <w:jc w:val="center"/>
      </w:pPr>
      <w:r>
        <w:rPr>
          <w:color w:val="0F766E"/>
        </w:rPr>
        <w:t>Government  |  Healthcare  |  Education  |  GCC Enterprise Delivery</w:t>
      </w:r>
    </w:p>
    <w:p>
      <w:pPr>
        <w:widowControl/>
        <w:spacing w:before="200"/>
        <w:jc w:val="center"/>
      </w:pPr>
      <w:r>
        <w:rPr>
          <w:sz w:val="18"/>
        </w:rPr>
        <w:t>Cairo, Egypt  |  +20 122 015 6077  |  ma7moud.salamaaa@gmail.com</w:t>
      </w:r>
    </w:p>
    <w:p>
      <w:pPr>
        <w:widowControl/>
        <w:jc w:val="center"/>
      </w:pPr>
      <w:hyperlink r:id="rId12">
        <w:r>
          <w:rPr>
            <w:color w:val="2563EB"/>
            <w:u w:val="single"/>
          </w:rPr>
          <w:t>Portfolio</w:t>
        </w:r>
      </w:hyperlink>
      <w:r>
        <w:t xml:space="preserve">   |   </w:t>
      </w:r>
      <w:hyperlink r:id="rId13">
        <w:r>
          <w:rPr>
            <w:color w:val="2563EB"/>
            <w:u w:val="single"/>
          </w:rPr>
          <w:t>LinkedIn</w:t>
        </w:r>
      </w:hyperlink>
      <w:r>
        <w:t xml:space="preserve">   |   </w:t>
      </w:r>
      <w:hyperlink r:id="rId14">
        <w:r>
          <w:rPr>
            <w:color w:val="2563EB"/>
            <w:u w:val="single"/>
          </w:rPr>
          <w:t>GitHub</w:t>
        </w:r>
      </w:hyperlink>
      <w:r>
        <w:t xml:space="preserve">   |   </w:t>
      </w:r>
      <w:hyperlink r:id="rId15">
        <w:r>
          <w:rPr>
            <w:color w:val="2563EB"/>
            <w:u w:val="single"/>
          </w:rPr>
          <w:t>Digital Card</w:t>
        </w:r>
      </w:hyperlink>
    </w:p>
    <w:p>
      <w:pPr>
        <w:widowControl/>
        <w:spacing w:before="360"/>
        <w:jc w:val="center"/>
      </w:pPr>
      <w:r>
        <w:rPr>
          <w:i/>
          <w:color w:val="5B6777"/>
          <w:sz w:val="17"/>
        </w:rPr>
        <w:t>Prepared for professional applications, consulting assignments, executive opportunities, and institutional review</w:t>
      </w:r>
    </w:p>
    <w:p>
      <w:pPr>
        <w:widowControl/>
        <w:jc w:val="center"/>
      </w:pPr>
      <w:r>
        <w:rPr>
          <w:color w:val="5B6777"/>
          <w:sz w:val="16"/>
        </w:rPr>
        <w:t>Generic edition | 24 July 2026</w:t>
      </w:r>
    </w:p>
    <w:p>
      <w:pPr>
        <w:widowControl/>
      </w:pPr>
      <w:r>
        <w:br w:type="page"/>
      </w:r>
    </w:p>
    <w:tbl>
      <w:tblPr>
        <w:tblW w:type="auto" w:w="0"/>
        <w:jc w:val="center"/>
        <w:tblLayout w:type="fixed"/>
        <w:tblLook w:firstColumn="1" w:firstRow="1" w:lastColumn="0" w:lastRow="0" w:noHBand="0" w:noVBand="1" w:val="04A0"/>
      </w:tblPr>
      <w:tblGrid>
        <w:gridCol w:w="864"/>
        <w:gridCol w:w="9144"/>
      </w:tblGrid>
      <w:tr>
        <w:tc>
          <w:tcPr>
            <w:tcW w:type="dxa" w:w="5018"/>
            <w:shd w:fill="C79A3B"/>
            <w:tcMar>
              <w:top w:w="120" w:type="dxa"/>
              <w:start w:w="140" w:type="dxa"/>
              <w:bottom w:w="120" w:type="dxa"/>
              <w:end w:w="140" w:type="dxa"/>
            </w:tcMar>
            <w:tcBorders>
              <w:top w:val="nil"/>
              <w:bottom w:val="nil"/>
              <w:left w:val="nil"/>
              <w:right w:val="nil"/>
            </w:tcBorders>
          </w:tcPr>
          <w:p>
            <w:pPr>
              <w:jc w:val="center"/>
            </w:pPr>
            <w:r>
              <w:rPr>
                <w:b/>
                <w:color w:val="0B1F33"/>
                <w:sz w:val="32"/>
              </w:rPr>
              <w:t>1</w:t>
            </w:r>
          </w:p>
        </w:tc>
        <w:tc>
          <w:tcPr>
            <w:tcW w:type="dxa" w:w="5018"/>
            <w:shd w:fill="0B1F33"/>
            <w:tcMar>
              <w:top w:w="120" w:type="dxa"/>
              <w:start w:w="140" w:type="dxa"/>
              <w:bottom w:w="120" w:type="dxa"/>
              <w:end w:w="140" w:type="dxa"/>
            </w:tcMar>
            <w:tcBorders>
              <w:top w:val="nil"/>
              <w:bottom w:val="nil"/>
              <w:left w:val="nil"/>
              <w:right w:val="nil"/>
            </w:tcBorders>
          </w:tcPr>
          <w:p>
            <w:pPr>
              <w:spacing w:after="0"/>
            </w:pPr>
            <w:r>
              <w:rPr>
                <w:b/>
                <w:color w:val="FFFFFF"/>
                <w:sz w:val="30"/>
              </w:rPr>
              <w:t>EXECUTIVE PROFILE AND PORTFOLIO OVERVIEW</w:t>
            </w:r>
          </w:p>
          <w:p>
            <w:pPr>
              <w:spacing w:before="40" w:after="0"/>
            </w:pPr>
            <w:r>
              <w:rPr>
                <w:color w:val="D9E7F5"/>
                <w:sz w:val="17"/>
              </w:rPr>
              <w:t>A concise overview of leadership scope, transferable value, and document contents</w:t>
            </w:r>
          </w:p>
        </w:tc>
      </w:tr>
    </w:tbl>
    <w:p>
      <w:pPr>
        <w:widowControl/>
        <w:spacing w:after="0"/>
      </w:pPr>
    </w:p>
    <w:p>
      <w:pPr>
        <w:pStyle w:val="BodyText"/>
        <w:widowControl/>
        <w:spacing w:after="120" w:line="259" w:lineRule="auto"/>
      </w:pPr>
      <w:r>
        <w:t>This portfolio presents a publication-safe selection of professional writing, transformation methodology, enterprise technology programmes, leadership appointments, technical capabilities, and knowledge products developed across more than eighteen years of work in Egypt and the Gulf Cooperation Council. It is intentionally generic so it can support executive recruitment, consulting applications, international-development assignments, public-sector transformation engagements, and enterprise architecture opportunities.</w:t>
      </w:r>
    </w:p>
    <w:tbl>
      <w:tblPr>
        <w:tblW w:type="auto" w:w="0"/>
        <w:jc w:val="center"/>
        <w:tblLayout w:type="fixed"/>
        <w:tblLook w:firstColumn="1" w:firstRow="1" w:lastColumn="0" w:lastRow="0" w:noHBand="0" w:noVBand="1" w:val="04A0"/>
      </w:tblPr>
      <w:tblGrid>
        <w:gridCol w:w="173"/>
        <w:gridCol w:w="9835"/>
      </w:tblGrid>
      <w:tr>
        <w:tc>
          <w:tcPr>
            <w:tcW w:type="dxa" w:w="5018"/>
            <w:shd w:fill="0F766E"/>
            <w:tcMar>
              <w:top w:w="0" w:type="dxa"/>
              <w:start w:w="0" w:type="dxa"/>
              <w:bottom w:w="0" w:type="dxa"/>
              <w:end w:w="0" w:type="dxa"/>
            </w:tcMar>
            <w:tcBorders>
              <w:top w:val="single" w:sz="4" w:color="D6DEE7"/>
              <w:bottom w:val="single" w:sz="4" w:color="D6DEE7"/>
              <w:left w:val="single" w:sz="4" w:color="D6DEE7"/>
              <w:right w:val="single" w:sz="4" w:color="D6DEE7"/>
            </w:tcBorders>
          </w:tcPr>
          <w:p/>
        </w:tc>
        <w:tc>
          <w:tcPr>
            <w:tcW w:type="dxa" w:w="5018"/>
            <w:shd w:fill="EAF7F5"/>
            <w:tcMar>
              <w:top w:w="130" w:type="dxa"/>
              <w:start w:w="160" w:type="dxa"/>
              <w:bottom w:w="130" w:type="dxa"/>
              <w:end w:w="160" w:type="dxa"/>
            </w:tcMar>
            <w:tcBorders>
              <w:top w:val="single" w:sz="4" w:color="D6DEE7"/>
              <w:bottom w:val="single" w:sz="4" w:color="D6DEE7"/>
              <w:left w:val="single" w:sz="4" w:color="D6DEE7"/>
              <w:right w:val="single" w:sz="4" w:color="D6DEE7"/>
            </w:tcBorders>
          </w:tcPr>
          <w:p>
            <w:pPr>
              <w:spacing w:after="60"/>
            </w:pPr>
            <w:r>
              <w:rPr>
                <w:b/>
                <w:color w:val="0F766E"/>
                <w:sz w:val="21"/>
              </w:rPr>
              <w:t>What this document demonstrates</w:t>
            </w:r>
          </w:p>
          <w:p>
            <w:pPr>
              <w:spacing w:after="0" w:line="250" w:lineRule="auto"/>
            </w:pPr>
            <w:r>
              <w:rPr>
                <w:sz w:val="18"/>
              </w:rPr>
              <w:t>The ability to diagnose complex institutional problems, structure evidence, communicate with senior decision-makers, design practical transformation roadmaps, govern technology portfolios, lead cross-functional delivery, strengthen data and integration environments, and convert digital investment into sustainable organisational capability.</w:t>
            </w:r>
          </w:p>
        </w:tc>
      </w:tr>
    </w:tbl>
    <w:p>
      <w:pPr>
        <w:keepNext/>
        <w:widowControl/>
        <w:spacing w:before="120" w:after="80"/>
      </w:pPr>
      <w:r>
        <w:rPr>
          <w:rFonts w:ascii="Aptos Display" w:hAnsi="Aptos Display"/>
          <w:b/>
          <w:color w:val="0F766E"/>
          <w:sz w:val="25"/>
        </w:rPr>
        <w:t>Executive value proposition</w:t>
      </w:r>
    </w:p>
    <w:tbl>
      <w:tblPr>
        <w:tblW w:type="auto" w:w="0"/>
        <w:jc w:val="center"/>
        <w:tblLayout w:type="fixed"/>
        <w:tblLook w:firstColumn="1" w:firstRow="1" w:lastColumn="0" w:lastRow="0" w:noHBand="0" w:noVBand="1" w:val="04A0"/>
      </w:tblPr>
      <w:tblGrid>
        <w:gridCol w:w="4896"/>
        <w:gridCol w:w="4896"/>
      </w:tblGrid>
      <w:tr>
        <w:tc>
          <w:tcPr>
            <w:tcW w:type="dxa" w:w="4896"/>
            <w:tcMar>
              <w:top w:w="130" w:type="dxa"/>
              <w:start w:w="150" w:type="dxa"/>
              <w:bottom w:w="130" w:type="dxa"/>
              <w:end w:w="150" w:type="dxa"/>
            </w:tcMar>
            <w:shd w:fill="F4F6F8"/>
            <w:tcBorders>
              <w:top w:val="single" w:sz="5" w:color="D6DEE7"/>
              <w:bottom w:val="single" w:sz="5" w:color="D6DEE7"/>
              <w:left w:val="single" w:sz="5" w:color="D6DEE7"/>
              <w:right w:val="single" w:sz="5" w:color="D6DEE7"/>
            </w:tcBorders>
          </w:tcPr>
          <w:p>
            <w:pPr>
              <w:spacing w:after="80"/>
            </w:pPr>
            <w:r>
              <w:rPr>
                <w:b/>
                <w:color w:val="0B1F33"/>
                <w:sz w:val="21"/>
              </w:rPr>
              <w:t>Strategy to execution</w:t>
            </w:r>
          </w:p>
          <w:p>
            <w:pPr>
              <w:spacing w:after="0" w:line="247" w:lineRule="auto"/>
            </w:pPr>
            <w:r>
              <w:rPr>
                <w:sz w:val="17"/>
              </w:rPr>
              <w:t>Connects executive priorities, operating models, enterprise architecture, programme governance, implementation planning, and measurable benefits.</w:t>
            </w:r>
          </w:p>
        </w:tc>
        <w:tc>
          <w:tcPr>
            <w:tcW w:type="dxa" w:w="4896"/>
            <w:tcMar>
              <w:top w:w="130" w:type="dxa"/>
              <w:start w:w="150" w:type="dxa"/>
              <w:bottom w:w="130" w:type="dxa"/>
              <w:end w:w="150" w:type="dxa"/>
            </w:tcMar>
            <w:shd w:fill="EAF7F5"/>
            <w:tcBorders>
              <w:top w:val="single" w:sz="5" w:color="D6DEE7"/>
              <w:bottom w:val="single" w:sz="5" w:color="D6DEE7"/>
              <w:left w:val="single" w:sz="5" w:color="D6DEE7"/>
              <w:right w:val="single" w:sz="5" w:color="D6DEE7"/>
            </w:tcBorders>
          </w:tcPr>
          <w:p>
            <w:pPr>
              <w:spacing w:after="80"/>
            </w:pPr>
            <w:r>
              <w:rPr>
                <w:b/>
                <w:color w:val="0B1F33"/>
                <w:sz w:val="21"/>
              </w:rPr>
              <w:t>Public-sector transformation</w:t>
            </w:r>
          </w:p>
          <w:p>
            <w:pPr>
              <w:spacing w:after="0" w:line="247" w:lineRule="auto"/>
            </w:pPr>
            <w:r>
              <w:rPr>
                <w:sz w:val="17"/>
              </w:rPr>
              <w:t>Experience in government, healthcare, education, procurement, supply chain, citizen services, and regulated institutional environments.</w:t>
            </w:r>
          </w:p>
        </w:tc>
      </w:tr>
      <w:tr>
        <w:tc>
          <w:tcPr>
            <w:tcW w:type="dxa" w:w="4896"/>
            <w:tcMar>
              <w:top w:w="130" w:type="dxa"/>
              <w:start w:w="150" w:type="dxa"/>
              <w:bottom w:w="130" w:type="dxa"/>
              <w:end w:w="150" w:type="dxa"/>
            </w:tcMar>
            <w:shd w:fill="F4F6F8"/>
            <w:tcBorders>
              <w:top w:val="single" w:sz="5" w:color="D6DEE7"/>
              <w:bottom w:val="single" w:sz="5" w:color="D6DEE7"/>
              <w:left w:val="single" w:sz="5" w:color="D6DEE7"/>
              <w:right w:val="single" w:sz="5" w:color="D6DEE7"/>
            </w:tcBorders>
          </w:tcPr>
          <w:p>
            <w:pPr>
              <w:spacing w:after="80"/>
            </w:pPr>
            <w:r>
              <w:rPr>
                <w:b/>
                <w:color w:val="0B1F33"/>
                <w:sz w:val="21"/>
              </w:rPr>
              <w:t>Architecture and integration</w:t>
            </w:r>
          </w:p>
          <w:p>
            <w:pPr>
              <w:spacing w:after="0" w:line="247" w:lineRule="auto"/>
            </w:pPr>
            <w:r>
              <w:rPr>
                <w:sz w:val="17"/>
              </w:rPr>
              <w:t>Enterprise and solution architecture spanning APIs, interoperability, Microsoft Dynamics 365, data platforms, analytics, and secure application ecosystems.</w:t>
            </w:r>
          </w:p>
        </w:tc>
        <w:tc>
          <w:tcPr>
            <w:tcW w:type="dxa" w:w="4896"/>
            <w:tcMar>
              <w:top w:w="130" w:type="dxa"/>
              <w:start w:w="150" w:type="dxa"/>
              <w:bottom w:w="130" w:type="dxa"/>
              <w:end w:w="150" w:type="dxa"/>
            </w:tcMar>
            <w:shd w:fill="EAF7F5"/>
            <w:tcBorders>
              <w:top w:val="single" w:sz="5" w:color="D6DEE7"/>
              <w:bottom w:val="single" w:sz="5" w:color="D6DEE7"/>
              <w:left w:val="single" w:sz="5" w:color="D6DEE7"/>
              <w:right w:val="single" w:sz="5" w:color="D6DEE7"/>
            </w:tcBorders>
          </w:tcPr>
          <w:p>
            <w:pPr>
              <w:spacing w:after="80"/>
            </w:pPr>
            <w:r>
              <w:rPr>
                <w:b/>
                <w:color w:val="0B1F33"/>
                <w:sz w:val="21"/>
              </w:rPr>
              <w:t>Leadership and adoption</w:t>
            </w:r>
          </w:p>
          <w:p>
            <w:pPr>
              <w:spacing w:after="0" w:line="247" w:lineRule="auto"/>
            </w:pPr>
            <w:r>
              <w:rPr>
                <w:sz w:val="17"/>
              </w:rPr>
              <w:t>Directs multidisciplinary teams, vendors, stakeholders, quality standards, release governance, training, documentation, and organisational change.</w:t>
            </w:r>
          </w:p>
        </w:tc>
      </w:tr>
    </w:tbl>
    <w:p>
      <w:pPr>
        <w:keepNext/>
        <w:widowControl/>
        <w:spacing w:before="120" w:after="80"/>
      </w:pPr>
      <w:r>
        <w:rPr>
          <w:rFonts w:ascii="Aptos Display" w:hAnsi="Aptos Display"/>
          <w:b/>
          <w:color w:val="0F766E"/>
          <w:sz w:val="25"/>
        </w:rPr>
        <w:t>Portfolio at a glance</w:t>
      </w:r>
    </w:p>
    <w:tbl>
      <w:tblPr>
        <w:tblW w:type="auto" w:w="0"/>
        <w:jc w:val="center"/>
        <w:tblLayout w:type="fixed"/>
        <w:tblLook w:firstColumn="1" w:firstRow="1" w:lastColumn="0" w:lastRow="0" w:noHBand="0" w:noVBand="1" w:val="04A0"/>
      </w:tblPr>
      <w:tblGrid>
        <w:gridCol w:w="2509"/>
        <w:gridCol w:w="2509"/>
        <w:gridCol w:w="2509"/>
        <w:gridCol w:w="2509"/>
      </w:tblGrid>
      <w:tr>
        <w:tc>
          <w:tcPr>
            <w:tcW w:type="dxa" w:w="2502"/>
            <w:shd w:fill="16324F"/>
            <w:tcMar>
              <w:top w:w="120" w:type="dxa"/>
              <w:start w:w="80" w:type="dxa"/>
              <w:bottom w:w="120" w:type="dxa"/>
              <w:end w:w="80" w:type="dxa"/>
            </w:tcMar>
            <w:tcBorders>
              <w:top w:val="single" w:sz="4" w:color="FFFFFF"/>
              <w:bottom w:val="single" w:sz="4" w:color="FFFFFF"/>
              <w:left w:val="single" w:sz="4" w:color="FFFFFF"/>
              <w:right w:val="single" w:sz="4" w:color="FFFFFF"/>
            </w:tcBorders>
          </w:tcPr>
          <w:p>
            <w:pPr>
              <w:spacing w:after="20"/>
              <w:jc w:val="center"/>
            </w:pPr>
            <w:r>
              <w:rPr>
                <w:b/>
                <w:color w:val="FFFFFF"/>
                <w:sz w:val="34"/>
              </w:rPr>
              <w:t>12,000+</w:t>
            </w:r>
          </w:p>
          <w:p>
            <w:pPr>
              <w:spacing w:after="0"/>
              <w:jc w:val="center"/>
            </w:pPr>
            <w:r>
              <w:rPr>
                <w:color w:val="D9E7F5"/>
                <w:sz w:val="15"/>
              </w:rPr>
              <w:t>Public-sector entities supported</w:t>
            </w:r>
          </w:p>
        </w:tc>
        <w:tc>
          <w:tcPr>
            <w:tcW w:type="dxa" w:w="2502"/>
            <w:shd w:fill="0B5E59"/>
            <w:tcMar>
              <w:top w:w="120" w:type="dxa"/>
              <w:start w:w="80" w:type="dxa"/>
              <w:bottom w:w="120" w:type="dxa"/>
              <w:end w:w="80" w:type="dxa"/>
            </w:tcMar>
            <w:tcBorders>
              <w:top w:val="single" w:sz="4" w:color="FFFFFF"/>
              <w:bottom w:val="single" w:sz="4" w:color="FFFFFF"/>
              <w:left w:val="single" w:sz="4" w:color="FFFFFF"/>
              <w:right w:val="single" w:sz="4" w:color="FFFFFF"/>
            </w:tcBorders>
          </w:tcPr>
          <w:p>
            <w:pPr>
              <w:spacing w:after="20"/>
              <w:jc w:val="center"/>
            </w:pPr>
            <w:r>
              <w:rPr>
                <w:b/>
                <w:color w:val="FFFFFF"/>
                <w:sz w:val="34"/>
              </w:rPr>
              <w:t>39,000+</w:t>
            </w:r>
          </w:p>
          <w:p>
            <w:pPr>
              <w:spacing w:after="0"/>
              <w:jc w:val="center"/>
            </w:pPr>
            <w:r>
              <w:rPr>
                <w:color w:val="D9E7F5"/>
                <w:sz w:val="15"/>
              </w:rPr>
              <w:t>Staff reached through adoption</w:t>
            </w:r>
          </w:p>
        </w:tc>
        <w:tc>
          <w:tcPr>
            <w:tcW w:type="dxa" w:w="2502"/>
            <w:shd w:fill="16324F"/>
            <w:tcMar>
              <w:top w:w="120" w:type="dxa"/>
              <w:start w:w="80" w:type="dxa"/>
              <w:bottom w:w="120" w:type="dxa"/>
              <w:end w:w="80" w:type="dxa"/>
            </w:tcMar>
            <w:tcBorders>
              <w:top w:val="single" w:sz="4" w:color="FFFFFF"/>
              <w:bottom w:val="single" w:sz="4" w:color="FFFFFF"/>
              <w:left w:val="single" w:sz="4" w:color="FFFFFF"/>
              <w:right w:val="single" w:sz="4" w:color="FFFFFF"/>
            </w:tcBorders>
          </w:tcPr>
          <w:p>
            <w:pPr>
              <w:spacing w:after="20"/>
              <w:jc w:val="center"/>
            </w:pPr>
            <w:r>
              <w:rPr>
                <w:b/>
                <w:color w:val="FFFFFF"/>
                <w:sz w:val="34"/>
              </w:rPr>
              <w:t>~70%</w:t>
            </w:r>
          </w:p>
          <w:p>
            <w:pPr>
              <w:spacing w:after="0"/>
              <w:jc w:val="center"/>
            </w:pPr>
            <w:r>
              <w:rPr>
                <w:color w:val="D9E7F5"/>
                <w:sz w:val="15"/>
              </w:rPr>
              <w:t>Reporting preparation reduction</w:t>
            </w:r>
          </w:p>
        </w:tc>
        <w:tc>
          <w:tcPr>
            <w:tcW w:type="dxa" w:w="2502"/>
            <w:shd w:fill="0B5E59"/>
            <w:tcMar>
              <w:top w:w="120" w:type="dxa"/>
              <w:start w:w="80" w:type="dxa"/>
              <w:bottom w:w="120" w:type="dxa"/>
              <w:end w:w="80" w:type="dxa"/>
            </w:tcMar>
            <w:tcBorders>
              <w:top w:val="single" w:sz="4" w:color="FFFFFF"/>
              <w:bottom w:val="single" w:sz="4" w:color="FFFFFF"/>
              <w:left w:val="single" w:sz="4" w:color="FFFFFF"/>
              <w:right w:val="single" w:sz="4" w:color="FFFFFF"/>
            </w:tcBorders>
          </w:tcPr>
          <w:p>
            <w:pPr>
              <w:spacing w:after="20"/>
              <w:jc w:val="center"/>
            </w:pPr>
            <w:r>
              <w:rPr>
                <w:b/>
                <w:color w:val="FFFFFF"/>
                <w:sz w:val="34"/>
              </w:rPr>
              <w:t>2</w:t>
            </w:r>
          </w:p>
          <w:p>
            <w:pPr>
              <w:spacing w:after="0"/>
              <w:jc w:val="center"/>
            </w:pPr>
            <w:r>
              <w:rPr>
                <w:color w:val="D9E7F5"/>
                <w:sz w:val="15"/>
              </w:rPr>
              <w:t>Countries of direct delivery</w:t>
            </w:r>
          </w:p>
        </w:tc>
      </w:tr>
    </w:tbl>
    <w:p>
      <w:pPr>
        <w:keepNext/>
        <w:widowControl/>
        <w:spacing w:before="120" w:after="80"/>
      </w:pPr>
      <w:r>
        <w:rPr>
          <w:rFonts w:ascii="Aptos Display" w:hAnsi="Aptos Display"/>
          <w:b/>
          <w:color w:val="0F766E"/>
          <w:sz w:val="25"/>
        </w:rPr>
        <w:t>Document contents</w:t>
      </w:r>
    </w:p>
    <w:p>
      <w:pPr>
        <w:pStyle w:val="ListBullet"/>
        <w:keepLines/>
        <w:widowControl/>
        <w:spacing w:after="60" w:line="245" w:lineRule="auto"/>
      </w:pPr>
      <w:r>
        <w:rPr>
          <w:b/>
        </w:rPr>
        <w:t>Original professional writing sample:</w:t>
      </w:r>
      <w:r>
        <w:t xml:space="preserve"> A generic paper on sustainable public-sector digital transformation.</w:t>
      </w:r>
    </w:p>
    <w:p>
      <w:pPr>
        <w:pStyle w:val="ListBullet"/>
        <w:keepLines/>
        <w:widowControl/>
        <w:spacing w:after="60" w:line="245" w:lineRule="auto"/>
      </w:pPr>
      <w:r>
        <w:rPr>
          <w:b/>
        </w:rPr>
        <w:t>Transformation methodology:</w:t>
      </w:r>
      <w:r>
        <w:t xml:space="preserve"> A six-stage framework covering evidence, governance, architecture, delivery, adoption, and value realisation.</w:t>
      </w:r>
    </w:p>
    <w:p>
      <w:pPr>
        <w:pStyle w:val="ListBullet"/>
        <w:keepLines/>
        <w:widowControl/>
        <w:spacing w:after="60" w:line="245" w:lineRule="auto"/>
      </w:pPr>
      <w:r>
        <w:rPr>
          <w:b/>
        </w:rPr>
        <w:t>Selected portfolio:</w:t>
      </w:r>
      <w:r>
        <w:t xml:space="preserve"> Representative programmes in healthcare, government, education, data, integration, and enterprise applications.</w:t>
      </w:r>
    </w:p>
    <w:p>
      <w:pPr>
        <w:pStyle w:val="ListBullet"/>
        <w:keepLines/>
        <w:widowControl/>
        <w:spacing w:after="60" w:line="245" w:lineRule="auto"/>
      </w:pPr>
      <w:r>
        <w:rPr>
          <w:b/>
        </w:rPr>
        <w:t>Leadership and governance:</w:t>
      </w:r>
      <w:r>
        <w:t xml:space="preserve"> Board roles, national programme governance, international speaking, and sector engagement.</w:t>
      </w:r>
    </w:p>
    <w:p>
      <w:pPr>
        <w:pStyle w:val="ListBullet"/>
        <w:keepLines/>
        <w:widowControl/>
        <w:spacing w:after="60" w:line="245" w:lineRule="auto"/>
      </w:pPr>
      <w:r>
        <w:rPr>
          <w:b/>
        </w:rPr>
        <w:t>Professional outputs:</w:t>
      </w:r>
      <w:r>
        <w:t xml:space="preserve"> Case studies, strategies, architecture documents, specifications, dashboards, operating procedures, and training materials.</w:t>
      </w:r>
    </w:p>
    <w:p>
      <w:pPr>
        <w:pStyle w:val="ListBullet"/>
        <w:keepLines/>
        <w:widowControl/>
        <w:spacing w:after="60" w:line="245" w:lineRule="auto"/>
      </w:pPr>
      <w:r>
        <w:rPr>
          <w:b/>
        </w:rPr>
        <w:t>Technical and professional profile:</w:t>
      </w:r>
      <w:r>
        <w:t xml:space="preserve"> Capabilities, education, languages, public links, confidentiality boundaries, and supporting-evidence index.</w:t>
      </w:r>
    </w:p>
    <w:p>
      <w:pPr>
        <w:widowControl/>
      </w:pPr>
      <w:r>
        <w:br w:type="page"/>
      </w:r>
    </w:p>
    <w:tbl>
      <w:tblPr>
        <w:tblW w:type="auto" w:w="0"/>
        <w:jc w:val="center"/>
        <w:tblLayout w:type="fixed"/>
        <w:tblLook w:firstColumn="1" w:firstRow="1" w:lastColumn="0" w:lastRow="0" w:noHBand="0" w:noVBand="1" w:val="04A0"/>
      </w:tblPr>
      <w:tblGrid>
        <w:gridCol w:w="864"/>
        <w:gridCol w:w="9144"/>
      </w:tblGrid>
      <w:tr>
        <w:tc>
          <w:tcPr>
            <w:tcW w:type="dxa" w:w="5018"/>
            <w:shd w:fill="C79A3B"/>
            <w:tcMar>
              <w:top w:w="120" w:type="dxa"/>
              <w:start w:w="140" w:type="dxa"/>
              <w:bottom w:w="120" w:type="dxa"/>
              <w:end w:w="140" w:type="dxa"/>
            </w:tcMar>
            <w:tcBorders>
              <w:top w:val="nil"/>
              <w:bottom w:val="nil"/>
              <w:left w:val="nil"/>
              <w:right w:val="nil"/>
            </w:tcBorders>
          </w:tcPr>
          <w:p>
            <w:pPr>
              <w:jc w:val="center"/>
            </w:pPr>
            <w:r>
              <w:rPr>
                <w:b/>
                <w:color w:val="0B1F33"/>
                <w:sz w:val="32"/>
              </w:rPr>
              <w:t>2</w:t>
            </w:r>
          </w:p>
        </w:tc>
        <w:tc>
          <w:tcPr>
            <w:tcW w:type="dxa" w:w="5018"/>
            <w:shd w:fill="0B1F33"/>
            <w:tcMar>
              <w:top w:w="120" w:type="dxa"/>
              <w:start w:w="140" w:type="dxa"/>
              <w:bottom w:w="120" w:type="dxa"/>
              <w:end w:w="140" w:type="dxa"/>
            </w:tcMar>
            <w:tcBorders>
              <w:top w:val="nil"/>
              <w:bottom w:val="nil"/>
              <w:left w:val="nil"/>
              <w:right w:val="nil"/>
            </w:tcBorders>
          </w:tcPr>
          <w:p>
            <w:pPr>
              <w:spacing w:after="0"/>
            </w:pPr>
            <w:r>
              <w:rPr>
                <w:b/>
                <w:color w:val="FFFFFF"/>
                <w:sz w:val="30"/>
              </w:rPr>
              <w:t>ORIGINAL PROFESSIONAL WRITING SAMPLE</w:t>
            </w:r>
          </w:p>
          <w:p>
            <w:pPr>
              <w:spacing w:before="40" w:after="0"/>
            </w:pPr>
            <w:r>
              <w:rPr>
                <w:color w:val="D9E7F5"/>
                <w:sz w:val="17"/>
              </w:rPr>
              <w:t>From digital projects to institutional capability: a framework for sustainable public-sector transformation</w:t>
            </w:r>
          </w:p>
        </w:tc>
      </w:tr>
    </w:tbl>
    <w:p>
      <w:pPr>
        <w:widowControl/>
        <w:spacing w:after="0"/>
      </w:pPr>
    </w:p>
    <w:p>
      <w:pPr>
        <w:widowControl/>
        <w:spacing w:after="60"/>
        <w:jc w:val="center"/>
      </w:pPr>
      <w:r>
        <w:rPr>
          <w:rFonts w:ascii="Aptos Display" w:hAnsi="Aptos Display"/>
          <w:b/>
          <w:color w:val="0B1F33"/>
          <w:sz w:val="34"/>
        </w:rPr>
        <w:t>FROM DIGITAL PROJECTS TO INSTITUTIONAL CAPABILITY</w:t>
      </w:r>
    </w:p>
    <w:p>
      <w:pPr>
        <w:widowControl/>
        <w:spacing w:after="200"/>
        <w:jc w:val="center"/>
      </w:pPr>
      <w:r>
        <w:rPr>
          <w:i/>
          <w:color w:val="0F766E"/>
          <w:sz w:val="21"/>
        </w:rPr>
        <w:t>A practical framework for sustainable transformation in complex public institutions</w:t>
      </w:r>
    </w:p>
    <w:p>
      <w:pPr>
        <w:keepNext/>
        <w:widowControl/>
        <w:spacing w:before="120" w:after="80"/>
      </w:pPr>
      <w:r>
        <w:rPr>
          <w:rFonts w:ascii="Aptos Display" w:hAnsi="Aptos Display"/>
          <w:b/>
          <w:color w:val="0F766E"/>
          <w:sz w:val="25"/>
        </w:rPr>
        <w:t>Executive context</w:t>
      </w:r>
    </w:p>
    <w:p>
      <w:pPr>
        <w:pStyle w:val="BodyText"/>
        <w:widowControl/>
        <w:spacing w:after="120" w:line="259" w:lineRule="auto"/>
      </w:pPr>
      <w:r>
        <w:t>Public institutions are under increasing pressure to improve service quality, transparency, efficiency, resilience, and evidence-based decision-making. Digital technology can help, but technology alone does not transform an institution. Sustainable transformation occurs when strategy, governance, process design, data, architecture, people, and performance management are treated as one connected system.</w:t>
      </w:r>
    </w:p>
    <w:p>
      <w:pPr>
        <w:pStyle w:val="BodyText"/>
        <w:widowControl/>
        <w:spacing w:after="120" w:line="259" w:lineRule="auto"/>
      </w:pPr>
      <w:r>
        <w:t>Many programmes underperform because they begin with a product, platform, or procurement exercise before the institution has clarified the decisions that need to improve, the responsibilities that need to change, the information required for management, and the capabilities needed to operate the new environment. This creates digital replicas of fragmented processes rather than genuinely better institutions.</w:t>
      </w:r>
    </w:p>
    <w:tbl>
      <w:tblPr>
        <w:tblW w:type="auto" w:w="0"/>
        <w:jc w:val="center"/>
        <w:tblLayout w:type="fixed"/>
        <w:tblLook w:firstColumn="1" w:firstRow="1" w:lastColumn="0" w:lastRow="0" w:noHBand="0" w:noVBand="1" w:val="04A0"/>
      </w:tblPr>
      <w:tblGrid>
        <w:gridCol w:w="173"/>
        <w:gridCol w:w="9835"/>
      </w:tblGrid>
      <w:tr>
        <w:tc>
          <w:tcPr>
            <w:tcW w:type="dxa" w:w="5018"/>
            <w:shd w:fill="C79A3B"/>
            <w:tcMar>
              <w:top w:w="0" w:type="dxa"/>
              <w:start w:w="0" w:type="dxa"/>
              <w:bottom w:w="0" w:type="dxa"/>
              <w:end w:w="0" w:type="dxa"/>
            </w:tcMar>
            <w:tcBorders>
              <w:top w:val="single" w:sz="4" w:color="D6DEE7"/>
              <w:bottom w:val="single" w:sz="4" w:color="D6DEE7"/>
              <w:left w:val="single" w:sz="4" w:color="D6DEE7"/>
              <w:right w:val="single" w:sz="4" w:color="D6DEE7"/>
            </w:tcBorders>
          </w:tcPr>
          <w:p/>
        </w:tc>
        <w:tc>
          <w:tcPr>
            <w:tcW w:type="dxa" w:w="5018"/>
            <w:shd w:fill="F7EFD9"/>
            <w:tcMar>
              <w:top w:w="130" w:type="dxa"/>
              <w:start w:w="160" w:type="dxa"/>
              <w:bottom w:w="130" w:type="dxa"/>
              <w:end w:w="160" w:type="dxa"/>
            </w:tcMar>
            <w:tcBorders>
              <w:top w:val="single" w:sz="4" w:color="D6DEE7"/>
              <w:bottom w:val="single" w:sz="4" w:color="D6DEE7"/>
              <w:left w:val="single" w:sz="4" w:color="D6DEE7"/>
              <w:right w:val="single" w:sz="4" w:color="D6DEE7"/>
            </w:tcBorders>
          </w:tcPr>
          <w:p>
            <w:pPr>
              <w:spacing w:after="60"/>
            </w:pPr>
            <w:r>
              <w:rPr>
                <w:b/>
                <w:color w:val="C79A3B"/>
                <w:sz w:val="21"/>
              </w:rPr>
              <w:t>Core proposition</w:t>
            </w:r>
          </w:p>
          <w:p>
            <w:pPr>
              <w:spacing w:after="0" w:line="250" w:lineRule="auto"/>
            </w:pPr>
            <w:r>
              <w:rPr>
                <w:sz w:val="18"/>
              </w:rPr>
              <w:t>A digital transformation programme should be governed as an institutional capability-building initiative. Technology is one component of the solution; the intended outcome is a stronger organisation that can make better decisions, deliver services more consistently, manage risk, and continuously improve.</w:t>
            </w:r>
          </w:p>
        </w:tc>
      </w:tr>
    </w:tbl>
    <w:p>
      <w:pPr>
        <w:keepNext/>
        <w:widowControl/>
        <w:spacing w:before="120" w:after="80"/>
      </w:pPr>
      <w:r>
        <w:rPr>
          <w:rFonts w:ascii="Aptos Display" w:hAnsi="Aptos Display"/>
          <w:b/>
          <w:color w:val="0F766E"/>
          <w:sz w:val="25"/>
        </w:rPr>
        <w:t>1. Start with outcomes, not systems</w:t>
      </w:r>
    </w:p>
    <w:p>
      <w:pPr>
        <w:pStyle w:val="BodyText"/>
        <w:widowControl/>
        <w:spacing w:after="120" w:line="259" w:lineRule="auto"/>
      </w:pPr>
      <w:r>
        <w:t>The first task is to define the public value the programme is expected to create. Outcomes may include shorter service cycles, improved visibility, better compliance, more reliable data, wider access, stronger accountability, or greater resilience. Each outcome should be translated into measurable indicators and linked to the decisions, processes, roles, and information that influence it.</w:t>
      </w:r>
    </w:p>
    <w:p>
      <w:pPr>
        <w:pStyle w:val="BodyText"/>
        <w:widowControl/>
        <w:spacing w:after="120" w:line="259" w:lineRule="auto"/>
      </w:pPr>
      <w:r>
        <w:t>This prevents the programme from becoming a collection of technical features. It also enables leadership to distinguish between capabilities that are essential, capabilities that can be phased, and capabilities that should not be funded because they do not materially improve the target outcomes.</w:t>
      </w:r>
    </w:p>
    <w:p>
      <w:pPr>
        <w:keepNext/>
        <w:widowControl/>
        <w:spacing w:before="120" w:after="80"/>
      </w:pPr>
      <w:r>
        <w:rPr>
          <w:rFonts w:ascii="Aptos Display" w:hAnsi="Aptos Display"/>
          <w:b/>
          <w:color w:val="0F766E"/>
          <w:sz w:val="25"/>
        </w:rPr>
        <w:t>2. Establish an evidence baseline</w:t>
      </w:r>
    </w:p>
    <w:p>
      <w:pPr>
        <w:pStyle w:val="BodyText"/>
        <w:widowControl/>
        <w:spacing w:after="120" w:line="259" w:lineRule="auto"/>
      </w:pPr>
      <w:r>
        <w:t>A credible transformation roadmap requires an evidence-based view of the current environment. The assessment should combine process observation, stakeholder interviews, system inventories, data profiling, service metrics, control reviews, user feedback, and analysis of policy or regulatory requirements. The goal is not merely to document weaknesses; it is to understand why they persist and where intervention will create the greatest value.</w:t>
      </w:r>
    </w:p>
    <w:p>
      <w:pPr>
        <w:pStyle w:val="BodyText"/>
        <w:widowControl/>
        <w:spacing w:after="120" w:line="259" w:lineRule="auto"/>
      </w:pPr>
      <w:r>
        <w:t>Evidence should be structured into a small number of decision-relevant themes: service performance, governance, process maturity, data quality, architecture, security, workforce capability, vendor dependencies, and financial sustainability. The baseline should also distinguish between symptoms and root causes. Slow reporting, for example, may result from fragmented ownership, inconsistent master data, manual reconciliation, or unclear approval rules rather than from inadequate reporting software.</w:t>
      </w:r>
    </w:p>
    <w:p>
      <w:pPr>
        <w:keepNext/>
        <w:widowControl/>
        <w:spacing w:before="120" w:after="80"/>
      </w:pPr>
      <w:r>
        <w:rPr>
          <w:rFonts w:ascii="Aptos Display" w:hAnsi="Aptos Display"/>
          <w:b/>
          <w:color w:val="0F766E"/>
          <w:sz w:val="25"/>
        </w:rPr>
        <w:t>3. Design governance before scale</w:t>
      </w:r>
    </w:p>
    <w:p>
      <w:pPr>
        <w:pStyle w:val="BodyText"/>
        <w:widowControl/>
        <w:spacing w:after="120" w:line="259" w:lineRule="auto"/>
      </w:pPr>
      <w:r>
        <w:t>Large programmes need explicit decision rights. Governance should define who owns business outcomes, who owns data, who approves architecture, who accepts risk, who authorises releases, and who is accountable for adoption. A steering structure is useful only when responsibilities, escalation paths, and decision timelines are clear.</w:t>
      </w:r>
    </w:p>
    <w:p>
      <w:pPr>
        <w:pStyle w:val="BodyText"/>
        <w:widowControl/>
        <w:spacing w:after="120" w:line="259" w:lineRule="auto"/>
      </w:pPr>
      <w:r>
        <w:t>Effective governance also protects delivery teams from conflicting priorities. Architecture standards, data definitions, security requirements, and release controls should be agreed early and enforced consistently. This reduces duplication, limits uncontrolled customisation, and creates a shared institutional language across technical and non-technical stakeholders.</w:t>
      </w:r>
    </w:p>
    <w:tbl>
      <w:tblPr>
        <w:tblW w:type="auto" w:w="0"/>
        <w:jc w:val="center"/>
        <w:tblLayout w:type="fixed"/>
        <w:tblLook w:firstColumn="1" w:firstRow="1" w:lastColumn="0" w:lastRow="0" w:noHBand="0" w:noVBand="1" w:val="04A0"/>
      </w:tblPr>
      <w:tblGrid>
        <w:gridCol w:w="864"/>
        <w:gridCol w:w="9144"/>
      </w:tblGrid>
      <w:tr>
        <w:tc>
          <w:tcPr>
            <w:tcW w:type="dxa" w:w="5018"/>
            <w:shd w:fill="C79A3B"/>
            <w:tcMar>
              <w:top w:w="120" w:type="dxa"/>
              <w:start w:w="140" w:type="dxa"/>
              <w:bottom w:w="120" w:type="dxa"/>
              <w:end w:w="140" w:type="dxa"/>
            </w:tcMar>
            <w:tcBorders>
              <w:top w:val="nil"/>
              <w:bottom w:val="nil"/>
              <w:left w:val="nil"/>
              <w:right w:val="nil"/>
            </w:tcBorders>
          </w:tcPr>
          <w:p>
            <w:pPr>
              <w:jc w:val="center"/>
            </w:pPr>
            <w:r>
              <w:rPr>
                <w:b/>
                <w:color w:val="0B1F33"/>
                <w:sz w:val="32"/>
              </w:rPr>
              <w:t>2A</w:t>
            </w:r>
          </w:p>
        </w:tc>
        <w:tc>
          <w:tcPr>
            <w:tcW w:type="dxa" w:w="5018"/>
            <w:shd w:fill="0B1F33"/>
            <w:tcMar>
              <w:top w:w="120" w:type="dxa"/>
              <w:start w:w="140" w:type="dxa"/>
              <w:bottom w:w="120" w:type="dxa"/>
              <w:end w:w="140" w:type="dxa"/>
            </w:tcMar>
            <w:tcBorders>
              <w:top w:val="nil"/>
              <w:bottom w:val="nil"/>
              <w:left w:val="nil"/>
              <w:right w:val="nil"/>
            </w:tcBorders>
          </w:tcPr>
          <w:p>
            <w:pPr>
              <w:spacing w:after="0"/>
            </w:pPr>
            <w:r>
              <w:rPr>
                <w:b/>
                <w:color w:val="FFFFFF"/>
                <w:sz w:val="30"/>
              </w:rPr>
              <w:t>ORIGINAL PROFESSIONAL WRITING SAMPLE - CONTINUED</w:t>
            </w:r>
          </w:p>
          <w:p>
            <w:pPr>
              <w:spacing w:before="40" w:after="0"/>
            </w:pPr>
            <w:r>
              <w:rPr>
                <w:color w:val="D9E7F5"/>
                <w:sz w:val="17"/>
              </w:rPr>
              <w:t>Architecture, delivery, adoption, and value realisation</w:t>
            </w:r>
          </w:p>
        </w:tc>
      </w:tr>
    </w:tbl>
    <w:p>
      <w:pPr>
        <w:widowControl/>
        <w:spacing w:after="0"/>
      </w:pPr>
    </w:p>
    <w:p>
      <w:pPr>
        <w:keepNext/>
        <w:widowControl/>
        <w:spacing w:before="120" w:after="80"/>
      </w:pPr>
      <w:r>
        <w:rPr>
          <w:rFonts w:ascii="Aptos Display" w:hAnsi="Aptos Display"/>
          <w:b/>
          <w:color w:val="0F766E"/>
          <w:sz w:val="25"/>
        </w:rPr>
        <w:t>4. Build an architecture that supports institutional change</w:t>
      </w:r>
    </w:p>
    <w:p>
      <w:pPr>
        <w:pStyle w:val="BodyText"/>
        <w:widowControl/>
        <w:spacing w:after="120" w:line="259" w:lineRule="auto"/>
      </w:pPr>
      <w:r>
        <w:t>Enterprise architecture should translate strategic intent into a coherent set of capabilities, information flows, applications, integrations, and technology standards. It should clarify what must be shared across the institution, what can remain local, how data moves, how identities and permissions are controlled, and how legacy systems will be modernised or retired.</w:t>
      </w:r>
    </w:p>
    <w:p>
      <w:pPr>
        <w:pStyle w:val="BodyText"/>
        <w:widowControl/>
        <w:spacing w:after="120" w:line="259" w:lineRule="auto"/>
      </w:pPr>
      <w:r>
        <w:t>The architecture should be modular enough to support phased implementation and resilient enough to accommodate policy, organisational, and operational change. Integration should be treated as a managed capability rather than a series of point-to-point connections. APIs, data contracts, master data, auditability, monitoring, and exception handling are part of the operating model, not merely technical details.</w:t>
      </w:r>
    </w:p>
    <w:p>
      <w:pPr>
        <w:keepNext/>
        <w:widowControl/>
        <w:spacing w:before="120" w:after="80"/>
      </w:pPr>
      <w:r>
        <w:rPr>
          <w:rFonts w:ascii="Aptos Display" w:hAnsi="Aptos Display"/>
          <w:b/>
          <w:color w:val="0F766E"/>
          <w:sz w:val="25"/>
        </w:rPr>
        <w:t>5. Deliver in controlled, usable increments</w:t>
      </w:r>
    </w:p>
    <w:p>
      <w:pPr>
        <w:pStyle w:val="BodyText"/>
        <w:widowControl/>
        <w:spacing w:after="120" w:line="259" w:lineRule="auto"/>
      </w:pPr>
      <w:r>
        <w:t>Transformation should be delivered through increments that create visible operational value while preserving the integrity of the target architecture. Each release should have defined business outcomes, acceptance criteria, data requirements, control requirements, training needs, and operational ownership. This creates a disciplined connection between agile delivery and institutional accountability.</w:t>
      </w:r>
    </w:p>
    <w:p>
      <w:pPr>
        <w:pStyle w:val="BodyText"/>
        <w:widowControl/>
        <w:spacing w:after="120" w:line="259" w:lineRule="auto"/>
      </w:pPr>
      <w:r>
        <w:t>Pilot implementation is valuable when it is designed to test assumptions rather than simply demonstrate software. A pilot should generate evidence about process fit, data quality, user behaviour, support demand, integration performance, and policy implications. Lessons should be formally incorporated into the next stage of rollout.</w:t>
      </w:r>
    </w:p>
    <w:p>
      <w:pPr>
        <w:keepNext/>
        <w:widowControl/>
        <w:spacing w:before="120" w:after="80"/>
      </w:pPr>
      <w:r>
        <w:rPr>
          <w:rFonts w:ascii="Aptos Display" w:hAnsi="Aptos Display"/>
          <w:b/>
          <w:color w:val="0F766E"/>
          <w:sz w:val="25"/>
        </w:rPr>
        <w:t>6. Treat adoption as operational design</w:t>
      </w:r>
    </w:p>
    <w:p>
      <w:pPr>
        <w:pStyle w:val="BodyText"/>
        <w:widowControl/>
        <w:spacing w:after="120" w:line="259" w:lineRule="auto"/>
      </w:pPr>
      <w:r>
        <w:t>User adoption is often described as communication and training, but sustainable adoption depends on the complete operational environment. Users need clear roles, practical procedures, responsive support, accessible documentation, realistic workload expectations, and visible leadership commitment. Managers need dashboards, escalation paths, and accountability mechanisms that reinforce the new way of working.</w:t>
      </w:r>
    </w:p>
    <w:p>
      <w:pPr>
        <w:pStyle w:val="BodyText"/>
        <w:widowControl/>
        <w:spacing w:after="120" w:line="259" w:lineRule="auto"/>
      </w:pPr>
      <w:r>
        <w:t>Training should therefore be role-based and linked to actual tasks, controls, and decisions. Super-user networks, service desks, knowledge bases, and feedback mechanisms help institutions build internal capability rather than depend indefinitely on external vendors or project teams.</w:t>
      </w:r>
    </w:p>
    <w:p>
      <w:pPr>
        <w:keepNext/>
        <w:widowControl/>
        <w:spacing w:before="120" w:after="80"/>
      </w:pPr>
      <w:r>
        <w:rPr>
          <w:rFonts w:ascii="Aptos Display" w:hAnsi="Aptos Display"/>
          <w:b/>
          <w:color w:val="0F766E"/>
          <w:sz w:val="25"/>
        </w:rPr>
        <w:t>7. Measure value and learn continuously</w:t>
      </w:r>
    </w:p>
    <w:p>
      <w:pPr>
        <w:pStyle w:val="BodyText"/>
        <w:widowControl/>
        <w:spacing w:after="120" w:line="259" w:lineRule="auto"/>
      </w:pPr>
      <w:r>
        <w:t>Benefits should be tracked throughout the programme, not only at closure. Performance measures should include service outcomes, process efficiency, data quality, compliance, user adoption, platform reliability, support demand, and financial impact. These measures should be reviewed through a governance process that can adjust priorities, resolve cross-functional issues, and authorise corrective action.</w:t>
      </w:r>
    </w:p>
    <w:p>
      <w:pPr>
        <w:pStyle w:val="BodyText"/>
        <w:widowControl/>
        <w:spacing w:after="120" w:line="259" w:lineRule="auto"/>
      </w:pPr>
      <w:r>
        <w:t>A mature institution uses the digital environment to learn. Operational data should reveal where processes fail, where users need support, where controls are excessive or insufficient, and where policy assumptions need revision. In this sense, the most important product of transformation is not a platform; it is a stronger institutional ability to observe, decide, act, and improve.</w:t>
      </w:r>
    </w:p>
    <w:tbl>
      <w:tblPr>
        <w:tblW w:type="auto" w:w="0"/>
        <w:jc w:val="center"/>
        <w:tblLayout w:type="fixed"/>
        <w:tblLook w:firstColumn="1" w:firstRow="1" w:lastColumn="0" w:lastRow="0" w:noHBand="0" w:noVBand="1" w:val="04A0"/>
      </w:tblPr>
      <w:tblGrid>
        <w:gridCol w:w="173"/>
        <w:gridCol w:w="9835"/>
      </w:tblGrid>
      <w:tr>
        <w:tc>
          <w:tcPr>
            <w:tcW w:type="dxa" w:w="5018"/>
            <w:shd w:fill="2563EB"/>
            <w:tcMar>
              <w:top w:w="0" w:type="dxa"/>
              <w:start w:w="0" w:type="dxa"/>
              <w:bottom w:w="0" w:type="dxa"/>
              <w:end w:w="0" w:type="dxa"/>
            </w:tcMar>
            <w:tcBorders>
              <w:top w:val="single" w:sz="4" w:color="D6DEE7"/>
              <w:bottom w:val="single" w:sz="4" w:color="D6DEE7"/>
              <w:left w:val="single" w:sz="4" w:color="D6DEE7"/>
              <w:right w:val="single" w:sz="4" w:color="D6DEE7"/>
            </w:tcBorders>
          </w:tcPr>
          <w:p/>
        </w:tc>
        <w:tc>
          <w:tcPr>
            <w:tcW w:type="dxa" w:w="5018"/>
            <w:shd w:fill="EEF4FF"/>
            <w:tcMar>
              <w:top w:w="130" w:type="dxa"/>
              <w:start w:w="160" w:type="dxa"/>
              <w:bottom w:w="130" w:type="dxa"/>
              <w:end w:w="160" w:type="dxa"/>
            </w:tcMar>
            <w:tcBorders>
              <w:top w:val="single" w:sz="4" w:color="D6DEE7"/>
              <w:bottom w:val="single" w:sz="4" w:color="D6DEE7"/>
              <w:left w:val="single" w:sz="4" w:color="D6DEE7"/>
              <w:right w:val="single" w:sz="4" w:color="D6DEE7"/>
            </w:tcBorders>
          </w:tcPr>
          <w:p>
            <w:pPr>
              <w:spacing w:after="60"/>
            </w:pPr>
            <w:r>
              <w:rPr>
                <w:b/>
                <w:color w:val="2563EB"/>
                <w:sz w:val="21"/>
              </w:rPr>
              <w:t>Closing perspective</w:t>
            </w:r>
          </w:p>
          <w:p>
            <w:pPr>
              <w:spacing w:after="0" w:line="250" w:lineRule="auto"/>
            </w:pPr>
            <w:r>
              <w:rPr>
                <w:sz w:val="18"/>
              </w:rPr>
              <w:t>The strongest transformation programmes combine ambition with institutional realism. They create a clear target state, but they also invest in governance, data discipline, architecture, capability development, operational ownership, and continuous learning. This is how digital investment becomes sustainable public value.</w:t>
            </w:r>
          </w:p>
        </w:tc>
      </w:tr>
    </w:tbl>
    <w:tbl>
      <w:tblPr>
        <w:tblW w:type="auto" w:w="0"/>
        <w:jc w:val="center"/>
        <w:tblLayout w:type="fixed"/>
        <w:tblLook w:firstColumn="1" w:firstRow="1" w:lastColumn="0" w:lastRow="0" w:noHBand="0" w:noVBand="1" w:val="04A0"/>
      </w:tblPr>
      <w:tblGrid>
        <w:gridCol w:w="864"/>
        <w:gridCol w:w="9144"/>
      </w:tblGrid>
      <w:tr>
        <w:tc>
          <w:tcPr>
            <w:tcW w:type="dxa" w:w="5018"/>
            <w:shd w:fill="C79A3B"/>
            <w:tcMar>
              <w:top w:w="120" w:type="dxa"/>
              <w:start w:w="140" w:type="dxa"/>
              <w:bottom w:w="120" w:type="dxa"/>
              <w:end w:w="140" w:type="dxa"/>
            </w:tcMar>
            <w:tcBorders>
              <w:top w:val="nil"/>
              <w:bottom w:val="nil"/>
              <w:left w:val="nil"/>
              <w:right w:val="nil"/>
            </w:tcBorders>
          </w:tcPr>
          <w:p>
            <w:pPr>
              <w:jc w:val="center"/>
            </w:pPr>
            <w:r>
              <w:rPr>
                <w:b/>
                <w:color w:val="0B1F33"/>
                <w:sz w:val="32"/>
              </w:rPr>
              <w:t>3</w:t>
            </w:r>
          </w:p>
        </w:tc>
        <w:tc>
          <w:tcPr>
            <w:tcW w:type="dxa" w:w="5018"/>
            <w:shd w:fill="0B1F33"/>
            <w:tcMar>
              <w:top w:w="120" w:type="dxa"/>
              <w:start w:w="140" w:type="dxa"/>
              <w:bottom w:w="120" w:type="dxa"/>
              <w:end w:w="140" w:type="dxa"/>
            </w:tcMar>
            <w:tcBorders>
              <w:top w:val="nil"/>
              <w:bottom w:val="nil"/>
              <w:left w:val="nil"/>
              <w:right w:val="nil"/>
            </w:tcBorders>
          </w:tcPr>
          <w:p>
            <w:pPr>
              <w:spacing w:after="0"/>
            </w:pPr>
            <w:r>
              <w:rPr>
                <w:b/>
                <w:color w:val="FFFFFF"/>
                <w:sz w:val="30"/>
              </w:rPr>
              <w:t>TRANSFORMATION AND DELIVERY METHODOLOGY</w:t>
            </w:r>
          </w:p>
          <w:p>
            <w:pPr>
              <w:spacing w:before="40" w:after="0"/>
            </w:pPr>
            <w:r>
              <w:rPr>
                <w:color w:val="D9E7F5"/>
                <w:sz w:val="17"/>
              </w:rPr>
              <w:t>A reusable six-stage model for executive, consulting, and programme-delivery assignments</w:t>
            </w:r>
          </w:p>
        </w:tc>
      </w:tr>
    </w:tbl>
    <w:p>
      <w:pPr>
        <w:widowControl/>
        <w:spacing w:after="0"/>
      </w:pPr>
    </w:p>
    <w:tbl>
      <w:tblPr>
        <w:tblW w:type="auto" w:w="0"/>
        <w:jc w:val="center"/>
        <w:tblLayout w:type="fixed"/>
        <w:tblLook w:firstColumn="1" w:firstRow="1" w:lastColumn="0" w:lastRow="0" w:noHBand="0" w:noVBand="1" w:val="04A0"/>
      </w:tblPr>
      <w:tblGrid>
        <w:gridCol w:w="4896"/>
        <w:gridCol w:w="4896"/>
      </w:tblGrid>
      <w:tr>
        <w:tc>
          <w:tcPr>
            <w:tcW w:type="dxa" w:w="4896"/>
            <w:tcMar>
              <w:top w:w="130" w:type="dxa"/>
              <w:start w:w="150" w:type="dxa"/>
              <w:bottom w:w="130" w:type="dxa"/>
              <w:end w:w="150" w:type="dxa"/>
            </w:tcMar>
            <w:shd w:fill="F4F6F8"/>
            <w:tcBorders>
              <w:top w:val="single" w:sz="5" w:color="D6DEE7"/>
              <w:bottom w:val="single" w:sz="5" w:color="D6DEE7"/>
              <w:left w:val="single" w:sz="5" w:color="D6DEE7"/>
              <w:right w:val="single" w:sz="5" w:color="D6DEE7"/>
            </w:tcBorders>
          </w:tcPr>
          <w:p>
            <w:pPr>
              <w:spacing w:after="80"/>
            </w:pPr>
            <w:r>
              <w:rPr>
                <w:b/>
                <w:color w:val="0B1F33"/>
                <w:sz w:val="21"/>
              </w:rPr>
              <w:t>1. Discover and diagnose</w:t>
            </w:r>
          </w:p>
          <w:p>
            <w:pPr>
              <w:spacing w:after="0" w:line="247" w:lineRule="auto"/>
            </w:pPr>
            <w:r>
              <w:rPr>
                <w:sz w:val="17"/>
              </w:rPr>
              <w:t>Clarify objectives, stakeholders, policies, processes, systems, data, risks, constraints, and the evidence baseline.</w:t>
            </w:r>
          </w:p>
        </w:tc>
        <w:tc>
          <w:tcPr>
            <w:tcW w:type="dxa" w:w="4896"/>
            <w:tcMar>
              <w:top w:w="130" w:type="dxa"/>
              <w:start w:w="150" w:type="dxa"/>
              <w:bottom w:w="130" w:type="dxa"/>
              <w:end w:w="150" w:type="dxa"/>
            </w:tcMar>
            <w:shd w:fill="EAF7F5"/>
            <w:tcBorders>
              <w:top w:val="single" w:sz="5" w:color="D6DEE7"/>
              <w:bottom w:val="single" w:sz="5" w:color="D6DEE7"/>
              <w:left w:val="single" w:sz="5" w:color="D6DEE7"/>
              <w:right w:val="single" w:sz="5" w:color="D6DEE7"/>
            </w:tcBorders>
          </w:tcPr>
          <w:p>
            <w:pPr>
              <w:spacing w:after="80"/>
            </w:pPr>
            <w:r>
              <w:rPr>
                <w:b/>
                <w:color w:val="0B1F33"/>
                <w:sz w:val="21"/>
              </w:rPr>
              <w:t>2. Define outcomes and governance</w:t>
            </w:r>
          </w:p>
          <w:p>
            <w:pPr>
              <w:spacing w:after="0" w:line="247" w:lineRule="auto"/>
            </w:pPr>
            <w:r>
              <w:rPr>
                <w:sz w:val="17"/>
              </w:rPr>
              <w:t>Agree measurable outcomes, decision rights, ownership, architecture principles, risk acceptance, and escalation.</w:t>
            </w:r>
          </w:p>
        </w:tc>
      </w:tr>
      <w:tr>
        <w:tc>
          <w:tcPr>
            <w:tcW w:type="dxa" w:w="4896"/>
            <w:tcMar>
              <w:top w:w="130" w:type="dxa"/>
              <w:start w:w="150" w:type="dxa"/>
              <w:bottom w:w="130" w:type="dxa"/>
              <w:end w:w="150" w:type="dxa"/>
            </w:tcMar>
            <w:shd w:fill="F4F6F8"/>
            <w:tcBorders>
              <w:top w:val="single" w:sz="5" w:color="D6DEE7"/>
              <w:bottom w:val="single" w:sz="5" w:color="D6DEE7"/>
              <w:left w:val="single" w:sz="5" w:color="D6DEE7"/>
              <w:right w:val="single" w:sz="5" w:color="D6DEE7"/>
            </w:tcBorders>
          </w:tcPr>
          <w:p>
            <w:pPr>
              <w:spacing w:after="80"/>
            </w:pPr>
            <w:r>
              <w:rPr>
                <w:b/>
                <w:color w:val="0B1F33"/>
                <w:sz w:val="21"/>
              </w:rPr>
              <w:t>3. Design the target state</w:t>
            </w:r>
          </w:p>
          <w:p>
            <w:pPr>
              <w:spacing w:after="0" w:line="247" w:lineRule="auto"/>
            </w:pPr>
            <w:r>
              <w:rPr>
                <w:sz w:val="17"/>
              </w:rPr>
              <w:t>Develop the operating model, capability map, enterprise architecture, data model, integration approach, security controls, and roadmap.</w:t>
            </w:r>
          </w:p>
        </w:tc>
        <w:tc>
          <w:tcPr>
            <w:tcW w:type="dxa" w:w="4896"/>
            <w:tcMar>
              <w:top w:w="130" w:type="dxa"/>
              <w:start w:w="150" w:type="dxa"/>
              <w:bottom w:w="130" w:type="dxa"/>
              <w:end w:w="150" w:type="dxa"/>
            </w:tcMar>
            <w:shd w:fill="EAF7F5"/>
            <w:tcBorders>
              <w:top w:val="single" w:sz="5" w:color="D6DEE7"/>
              <w:bottom w:val="single" w:sz="5" w:color="D6DEE7"/>
              <w:left w:val="single" w:sz="5" w:color="D6DEE7"/>
              <w:right w:val="single" w:sz="5" w:color="D6DEE7"/>
            </w:tcBorders>
          </w:tcPr>
          <w:p>
            <w:pPr>
              <w:spacing w:after="80"/>
            </w:pPr>
            <w:r>
              <w:rPr>
                <w:b/>
                <w:color w:val="0B1F33"/>
                <w:sz w:val="21"/>
              </w:rPr>
              <w:t>4. Deliver controlled increments</w:t>
            </w:r>
          </w:p>
          <w:p>
            <w:pPr>
              <w:spacing w:after="0" w:line="247" w:lineRule="auto"/>
            </w:pPr>
            <w:r>
              <w:rPr>
                <w:sz w:val="17"/>
              </w:rPr>
              <w:t>Prioritise value, establish programme controls, manage vendors, define acceptance criteria, and release usable capabilities in phases.</w:t>
            </w:r>
          </w:p>
        </w:tc>
      </w:tr>
      <w:tr>
        <w:tc>
          <w:tcPr>
            <w:tcW w:type="dxa" w:w="4896"/>
            <w:tcMar>
              <w:top w:w="130" w:type="dxa"/>
              <w:start w:w="150" w:type="dxa"/>
              <w:bottom w:w="130" w:type="dxa"/>
              <w:end w:w="150" w:type="dxa"/>
            </w:tcMar>
            <w:shd w:fill="F4F6F8"/>
            <w:tcBorders>
              <w:top w:val="single" w:sz="5" w:color="D6DEE7"/>
              <w:bottom w:val="single" w:sz="5" w:color="D6DEE7"/>
              <w:left w:val="single" w:sz="5" w:color="D6DEE7"/>
              <w:right w:val="single" w:sz="5" w:color="D6DEE7"/>
            </w:tcBorders>
          </w:tcPr>
          <w:p>
            <w:pPr>
              <w:spacing w:after="80"/>
            </w:pPr>
            <w:r>
              <w:rPr>
                <w:b/>
                <w:color w:val="0B1F33"/>
                <w:sz w:val="21"/>
              </w:rPr>
              <w:t>5. Enable adoption and operations</w:t>
            </w:r>
          </w:p>
          <w:p>
            <w:pPr>
              <w:spacing w:after="0" w:line="247" w:lineRule="auto"/>
            </w:pPr>
            <w:r>
              <w:rPr>
                <w:sz w:val="17"/>
              </w:rPr>
              <w:t>Prepare roles, procedures, training, support, knowledge transfer, service management, and operational ownership.</w:t>
            </w:r>
          </w:p>
        </w:tc>
        <w:tc>
          <w:tcPr>
            <w:tcW w:type="dxa" w:w="4896"/>
            <w:tcMar>
              <w:top w:w="130" w:type="dxa"/>
              <w:start w:w="150" w:type="dxa"/>
              <w:bottom w:w="130" w:type="dxa"/>
              <w:end w:w="150" w:type="dxa"/>
            </w:tcMar>
            <w:shd w:fill="EAF7F5"/>
            <w:tcBorders>
              <w:top w:val="single" w:sz="5" w:color="D6DEE7"/>
              <w:bottom w:val="single" w:sz="5" w:color="D6DEE7"/>
              <w:left w:val="single" w:sz="5" w:color="D6DEE7"/>
              <w:right w:val="single" w:sz="5" w:color="D6DEE7"/>
            </w:tcBorders>
          </w:tcPr>
          <w:p>
            <w:pPr>
              <w:spacing w:after="80"/>
            </w:pPr>
            <w:r>
              <w:rPr>
                <w:b/>
                <w:color w:val="0B1F33"/>
                <w:sz w:val="21"/>
              </w:rPr>
              <w:t>6. Measure, improve, and sustain</w:t>
            </w:r>
          </w:p>
          <w:p>
            <w:pPr>
              <w:spacing w:after="0" w:line="247" w:lineRule="auto"/>
            </w:pPr>
            <w:r>
              <w:rPr>
                <w:sz w:val="17"/>
              </w:rPr>
              <w:t>Track benefits, data quality, adoption, service performance, risk, platform health, and continuous-improvement actions.</w:t>
            </w:r>
          </w:p>
        </w:tc>
      </w:tr>
    </w:tbl>
    <w:p>
      <w:pPr>
        <w:keepNext/>
        <w:widowControl/>
        <w:spacing w:before="120" w:after="80"/>
      </w:pPr>
      <w:r>
        <w:rPr>
          <w:rFonts w:ascii="Aptos Display" w:hAnsi="Aptos Display"/>
          <w:b/>
          <w:color w:val="0F766E"/>
          <w:sz w:val="25"/>
        </w:rPr>
        <w:t>Typical deliverables</w:t>
      </w:r>
    </w:p>
    <w:p>
      <w:pPr>
        <w:pStyle w:val="ListBullet"/>
        <w:keepLines/>
        <w:widowControl/>
        <w:spacing w:after="60" w:line="245" w:lineRule="auto"/>
      </w:pPr>
      <w:r>
        <w:t>Current-state assessment and evidence baseline.</w:t>
      </w:r>
    </w:p>
    <w:p>
      <w:pPr>
        <w:pStyle w:val="ListBullet"/>
        <w:keepLines/>
        <w:widowControl/>
        <w:spacing w:after="60" w:line="245" w:lineRule="auto"/>
      </w:pPr>
      <w:r>
        <w:t>Stakeholder map, consultation plan, and decision log.</w:t>
      </w:r>
    </w:p>
    <w:p>
      <w:pPr>
        <w:pStyle w:val="ListBullet"/>
        <w:keepLines/>
        <w:widowControl/>
        <w:spacing w:after="60" w:line="245" w:lineRule="auto"/>
      </w:pPr>
      <w:r>
        <w:t>Transformation strategy, target operating model, and phased roadmap.</w:t>
      </w:r>
    </w:p>
    <w:p>
      <w:pPr>
        <w:pStyle w:val="ListBullet"/>
        <w:keepLines/>
        <w:widowControl/>
        <w:spacing w:after="60" w:line="245" w:lineRule="auto"/>
      </w:pPr>
      <w:r>
        <w:t>Enterprise and solution architecture descriptions.</w:t>
      </w:r>
    </w:p>
    <w:p>
      <w:pPr>
        <w:pStyle w:val="ListBullet"/>
        <w:keepLines/>
        <w:widowControl/>
        <w:spacing w:after="60" w:line="245" w:lineRule="auto"/>
      </w:pPr>
      <w:r>
        <w:t>Data governance, master-data, integration, and security frameworks.</w:t>
      </w:r>
    </w:p>
    <w:p>
      <w:pPr>
        <w:pStyle w:val="ListBullet"/>
        <w:keepLines/>
        <w:widowControl/>
        <w:spacing w:after="60" w:line="245" w:lineRule="auto"/>
      </w:pPr>
      <w:r>
        <w:t>Business requirements, user journeys, process designs, and control matrices.</w:t>
      </w:r>
    </w:p>
    <w:p>
      <w:pPr>
        <w:pStyle w:val="ListBullet"/>
        <w:keepLines/>
        <w:widowControl/>
        <w:spacing w:after="60" w:line="245" w:lineRule="auto"/>
      </w:pPr>
      <w:r>
        <w:t>Programme plan, risk register, vendor-governance model, and quality gates.</w:t>
      </w:r>
    </w:p>
    <w:p>
      <w:pPr>
        <w:pStyle w:val="ListBullet"/>
        <w:keepLines/>
        <w:widowControl/>
        <w:spacing w:after="60" w:line="245" w:lineRule="auto"/>
      </w:pPr>
      <w:r>
        <w:t>Training, documentation, operating procedures, service model, and handover plan.</w:t>
      </w:r>
    </w:p>
    <w:p>
      <w:pPr>
        <w:pStyle w:val="ListBullet"/>
        <w:keepLines/>
        <w:widowControl/>
        <w:spacing w:after="60" w:line="245" w:lineRule="auto"/>
      </w:pPr>
      <w:r>
        <w:t>KPI framework, executive dashboard requirements, benefits-realisation plan, and lessons learned.</w:t>
      </w:r>
    </w:p>
    <w:p>
      <w:pPr>
        <w:keepNext/>
        <w:widowControl/>
        <w:spacing w:before="120" w:after="80"/>
      </w:pPr>
      <w:r>
        <w:rPr>
          <w:rFonts w:ascii="Aptos Display" w:hAnsi="Aptos Display"/>
          <w:b/>
          <w:color w:val="0F766E"/>
          <w:sz w:val="25"/>
        </w:rPr>
        <w:t>Working principles</w:t>
      </w:r>
    </w:p>
    <w:tbl>
      <w:tblPr>
        <w:tblW w:type="auto" w:w="0"/>
        <w:jc w:val="center"/>
        <w:tblLayout w:type="fixed"/>
        <w:tblLook w:firstColumn="1" w:firstRow="1" w:lastColumn="0" w:lastRow="0" w:noHBand="0" w:noVBand="1" w:val="04A0"/>
      </w:tblPr>
      <w:tblGrid>
        <w:gridCol w:w="4896"/>
        <w:gridCol w:w="4896"/>
      </w:tblGrid>
      <w:tr>
        <w:tc>
          <w:tcPr>
            <w:tcW w:type="dxa" w:w="4896"/>
            <w:tcMar>
              <w:top w:w="130" w:type="dxa"/>
              <w:start w:w="150" w:type="dxa"/>
              <w:bottom w:w="130" w:type="dxa"/>
              <w:end w:w="150" w:type="dxa"/>
            </w:tcMar>
            <w:shd w:fill="F4F6F8"/>
            <w:tcBorders>
              <w:top w:val="single" w:sz="5" w:color="D6DEE7"/>
              <w:bottom w:val="single" w:sz="5" w:color="D6DEE7"/>
              <w:left w:val="single" w:sz="5" w:color="D6DEE7"/>
              <w:right w:val="single" w:sz="5" w:color="D6DEE7"/>
            </w:tcBorders>
          </w:tcPr>
          <w:p>
            <w:pPr>
              <w:spacing w:after="80"/>
            </w:pPr>
            <w:r>
              <w:rPr>
                <w:b/>
                <w:color w:val="0B1F33"/>
                <w:sz w:val="21"/>
              </w:rPr>
              <w:t>Evidence before assumption</w:t>
            </w:r>
          </w:p>
          <w:p>
            <w:pPr>
              <w:spacing w:after="0" w:line="247" w:lineRule="auto"/>
            </w:pPr>
            <w:r>
              <w:rPr>
                <w:sz w:val="17"/>
              </w:rPr>
              <w:t>Recommendations should be traceable to verified needs, data, stakeholder input, and institutional constraints.</w:t>
            </w:r>
          </w:p>
        </w:tc>
        <w:tc>
          <w:tcPr>
            <w:tcW w:type="dxa" w:w="4896"/>
            <w:tcMar>
              <w:top w:w="130" w:type="dxa"/>
              <w:start w:w="150" w:type="dxa"/>
              <w:bottom w:w="130" w:type="dxa"/>
              <w:end w:w="150" w:type="dxa"/>
            </w:tcMar>
            <w:shd w:fill="EAF7F5"/>
            <w:tcBorders>
              <w:top w:val="single" w:sz="5" w:color="D6DEE7"/>
              <w:bottom w:val="single" w:sz="5" w:color="D6DEE7"/>
              <w:left w:val="single" w:sz="5" w:color="D6DEE7"/>
              <w:right w:val="single" w:sz="5" w:color="D6DEE7"/>
            </w:tcBorders>
          </w:tcPr>
          <w:p>
            <w:pPr>
              <w:spacing w:after="80"/>
            </w:pPr>
            <w:r>
              <w:rPr>
                <w:b/>
                <w:color w:val="0B1F33"/>
                <w:sz w:val="21"/>
              </w:rPr>
              <w:t>Architecture before fragmentation</w:t>
            </w:r>
          </w:p>
          <w:p>
            <w:pPr>
              <w:spacing w:after="0" w:line="247" w:lineRule="auto"/>
            </w:pPr>
            <w:r>
              <w:rPr>
                <w:sz w:val="17"/>
              </w:rPr>
              <w:t>Shared standards, reusable services, governed integration, and common data reduce long-term complexity.</w:t>
            </w:r>
          </w:p>
        </w:tc>
      </w:tr>
      <w:tr>
        <w:tc>
          <w:tcPr>
            <w:tcW w:type="dxa" w:w="4896"/>
            <w:tcMar>
              <w:top w:w="130" w:type="dxa"/>
              <w:start w:w="150" w:type="dxa"/>
              <w:bottom w:w="130" w:type="dxa"/>
              <w:end w:w="150" w:type="dxa"/>
            </w:tcMar>
            <w:shd w:fill="F4F6F8"/>
            <w:tcBorders>
              <w:top w:val="single" w:sz="5" w:color="D6DEE7"/>
              <w:bottom w:val="single" w:sz="5" w:color="D6DEE7"/>
              <w:left w:val="single" w:sz="5" w:color="D6DEE7"/>
              <w:right w:val="single" w:sz="5" w:color="D6DEE7"/>
            </w:tcBorders>
          </w:tcPr>
          <w:p>
            <w:pPr>
              <w:spacing w:after="80"/>
            </w:pPr>
            <w:r>
              <w:rPr>
                <w:b/>
                <w:color w:val="0B1F33"/>
                <w:sz w:val="21"/>
              </w:rPr>
              <w:t>Security and privacy by design</w:t>
            </w:r>
          </w:p>
          <w:p>
            <w:pPr>
              <w:spacing w:after="0" w:line="247" w:lineRule="auto"/>
            </w:pPr>
            <w:r>
              <w:rPr>
                <w:sz w:val="17"/>
              </w:rPr>
              <w:t>Access control, auditability, data protection, resilience, and backup are designed into the solution.</w:t>
            </w:r>
          </w:p>
        </w:tc>
        <w:tc>
          <w:tcPr>
            <w:tcW w:type="dxa" w:w="4896"/>
            <w:tcMar>
              <w:top w:w="130" w:type="dxa"/>
              <w:start w:w="150" w:type="dxa"/>
              <w:bottom w:w="130" w:type="dxa"/>
              <w:end w:w="150" w:type="dxa"/>
            </w:tcMar>
            <w:shd w:fill="EAF7F5"/>
            <w:tcBorders>
              <w:top w:val="single" w:sz="5" w:color="D6DEE7"/>
              <w:bottom w:val="single" w:sz="5" w:color="D6DEE7"/>
              <w:left w:val="single" w:sz="5" w:color="D6DEE7"/>
              <w:right w:val="single" w:sz="5" w:color="D6DEE7"/>
            </w:tcBorders>
          </w:tcPr>
          <w:p>
            <w:pPr>
              <w:spacing w:after="80"/>
            </w:pPr>
            <w:r>
              <w:rPr>
                <w:b/>
                <w:color w:val="0B1F33"/>
                <w:sz w:val="21"/>
              </w:rPr>
              <w:t>Delivery with ownership</w:t>
            </w:r>
          </w:p>
          <w:p>
            <w:pPr>
              <w:spacing w:after="0" w:line="247" w:lineRule="auto"/>
            </w:pPr>
            <w:r>
              <w:rPr>
                <w:sz w:val="17"/>
              </w:rPr>
              <w:t>Every capability needs an accountable business owner, an operational model, and a sustainable support path.</w:t>
            </w:r>
          </w:p>
        </w:tc>
      </w:tr>
      <w:tr>
        <w:tc>
          <w:tcPr>
            <w:tcW w:type="dxa" w:w="4896"/>
            <w:tcMar>
              <w:top w:w="130" w:type="dxa"/>
              <w:start w:w="150" w:type="dxa"/>
              <w:bottom w:w="130" w:type="dxa"/>
              <w:end w:w="150" w:type="dxa"/>
            </w:tcMar>
            <w:shd w:fill="F4F6F8"/>
            <w:tcBorders>
              <w:top w:val="single" w:sz="5" w:color="D6DEE7"/>
              <w:bottom w:val="single" w:sz="5" w:color="D6DEE7"/>
              <w:left w:val="single" w:sz="5" w:color="D6DEE7"/>
              <w:right w:val="single" w:sz="5" w:color="D6DEE7"/>
            </w:tcBorders>
          </w:tcPr>
          <w:p>
            <w:pPr>
              <w:spacing w:after="80"/>
            </w:pPr>
            <w:r>
              <w:rPr>
                <w:b/>
                <w:color w:val="0B1F33"/>
                <w:sz w:val="21"/>
              </w:rPr>
              <w:t>Adoption with empathy</w:t>
            </w:r>
          </w:p>
          <w:p>
            <w:pPr>
              <w:spacing w:after="0" w:line="247" w:lineRule="auto"/>
            </w:pPr>
            <w:r>
              <w:rPr>
                <w:sz w:val="17"/>
              </w:rPr>
              <w:t>Processes and systems must be usable by real teams working under real operational pressures.</w:t>
            </w:r>
          </w:p>
        </w:tc>
        <w:tc>
          <w:tcPr>
            <w:tcW w:type="dxa" w:w="4896"/>
            <w:tcMar>
              <w:top w:w="130" w:type="dxa"/>
              <w:start w:w="150" w:type="dxa"/>
              <w:bottom w:w="130" w:type="dxa"/>
              <w:end w:w="150" w:type="dxa"/>
            </w:tcMar>
            <w:shd w:fill="EAF7F5"/>
            <w:tcBorders>
              <w:top w:val="single" w:sz="5" w:color="D6DEE7"/>
              <w:bottom w:val="single" w:sz="5" w:color="D6DEE7"/>
              <w:left w:val="single" w:sz="5" w:color="D6DEE7"/>
              <w:right w:val="single" w:sz="5" w:color="D6DEE7"/>
            </w:tcBorders>
          </w:tcPr>
          <w:p>
            <w:pPr>
              <w:spacing w:after="80"/>
            </w:pPr>
            <w:r>
              <w:rPr>
                <w:b/>
                <w:color w:val="0B1F33"/>
                <w:sz w:val="21"/>
              </w:rPr>
              <w:t>Benefits with accountability</w:t>
            </w:r>
          </w:p>
          <w:p>
            <w:pPr>
              <w:spacing w:after="0" w:line="247" w:lineRule="auto"/>
            </w:pPr>
            <w:r>
              <w:rPr>
                <w:sz w:val="17"/>
              </w:rPr>
              <w:t>Value is defined, measured, reviewed, and used to adjust the programme throughout delivery.</w:t>
            </w:r>
          </w:p>
        </w:tc>
      </w:tr>
    </w:tbl>
    <w:p>
      <w:pPr>
        <w:widowControl/>
      </w:pPr>
      <w:r>
        <w:br w:type="page"/>
      </w:r>
    </w:p>
    <w:tbl>
      <w:tblPr>
        <w:tblW w:type="auto" w:w="0"/>
        <w:jc w:val="center"/>
        <w:tblLayout w:type="fixed"/>
        <w:tblLook w:firstColumn="1" w:firstRow="1" w:lastColumn="0" w:lastRow="0" w:noHBand="0" w:noVBand="1" w:val="04A0"/>
      </w:tblPr>
      <w:tblGrid>
        <w:gridCol w:w="864"/>
        <w:gridCol w:w="9144"/>
      </w:tblGrid>
      <w:tr>
        <w:tc>
          <w:tcPr>
            <w:tcW w:type="dxa" w:w="5018"/>
            <w:shd w:fill="C79A3B"/>
            <w:tcMar>
              <w:top w:w="120" w:type="dxa"/>
              <w:start w:w="140" w:type="dxa"/>
              <w:bottom w:w="120" w:type="dxa"/>
              <w:end w:w="140" w:type="dxa"/>
            </w:tcMar>
            <w:tcBorders>
              <w:top w:val="nil"/>
              <w:bottom w:val="nil"/>
              <w:left w:val="nil"/>
              <w:right w:val="nil"/>
            </w:tcBorders>
          </w:tcPr>
          <w:p>
            <w:pPr>
              <w:jc w:val="center"/>
            </w:pPr>
            <w:r>
              <w:rPr>
                <w:b/>
                <w:color w:val="0B1F33"/>
                <w:sz w:val="32"/>
              </w:rPr>
              <w:t>4</w:t>
            </w:r>
          </w:p>
        </w:tc>
        <w:tc>
          <w:tcPr>
            <w:tcW w:type="dxa" w:w="5018"/>
            <w:shd w:fill="0B1F33"/>
            <w:tcMar>
              <w:top w:w="120" w:type="dxa"/>
              <w:start w:w="140" w:type="dxa"/>
              <w:bottom w:w="120" w:type="dxa"/>
              <w:end w:w="140" w:type="dxa"/>
            </w:tcMar>
            <w:tcBorders>
              <w:top w:val="nil"/>
              <w:bottom w:val="nil"/>
              <w:left w:val="nil"/>
              <w:right w:val="nil"/>
            </w:tcBorders>
          </w:tcPr>
          <w:p>
            <w:pPr>
              <w:spacing w:after="0"/>
            </w:pPr>
            <w:r>
              <w:rPr>
                <w:b/>
                <w:color w:val="FFFFFF"/>
                <w:sz w:val="30"/>
              </w:rPr>
              <w:t>SELECTED ENTERPRISE PLATFORMS AND TRANSFORMATION PROGRAMMES</w:t>
            </w:r>
          </w:p>
          <w:p>
            <w:pPr>
              <w:spacing w:before="40" w:after="0"/>
            </w:pPr>
            <w:r>
              <w:rPr>
                <w:color w:val="D9E7F5"/>
                <w:sz w:val="17"/>
              </w:rPr>
              <w:t>Representative, publication-safe summaries of programmes led, governed, architected, or materially supported</w:t>
            </w:r>
          </w:p>
        </w:tc>
      </w:tr>
    </w:tbl>
    <w:p>
      <w:pPr>
        <w:widowControl/>
        <w:spacing w:after="0"/>
      </w:pPr>
    </w:p>
    <w:tbl>
      <w:tblPr>
        <w:tblW w:type="auto" w:w="0"/>
        <w:jc w:val="center"/>
        <w:tblLook w:firstColumn="1" w:firstRow="1" w:lastColumn="0" w:lastRow="0" w:noHBand="0" w:noVBand="1" w:val="04A0"/>
      </w:tblPr>
      <w:tblGrid>
        <w:gridCol w:w="10037"/>
      </w:tblGrid>
      <w:tr>
        <w:tc>
          <w:tcPr>
            <w:tcW w:type="dxa" w:w="10037"/>
            <w:shd w:fill="FFFFFF"/>
            <w:tcMar>
              <w:top w:w="120" w:type="dxa"/>
              <w:start w:w="150" w:type="dxa"/>
              <w:bottom w:w="120" w:type="dxa"/>
              <w:end w:w="150" w:type="dxa"/>
            </w:tcMar>
            <w:tcBorders>
              <w:top w:val="single" w:sz="8" w:color="C79A3B"/>
              <w:bottom w:val="single" w:sz="5" w:color="D6DEE7"/>
              <w:left w:val="single" w:sz="5" w:color="D6DEE7"/>
              <w:right w:val="single" w:sz="5" w:color="D6DEE7"/>
            </w:tcBorders>
          </w:tcPr>
          <w:p>
            <w:pPr>
              <w:spacing w:after="40"/>
            </w:pPr>
            <w:r>
              <w:rPr>
                <w:b/>
                <w:color w:val="0B1F33"/>
                <w:sz w:val="23"/>
              </w:rPr>
              <w:t>MedIQ / Unified Procurement and Medical Supply Ecosystem</w:t>
            </w:r>
          </w:p>
          <w:p>
            <w:pPr>
              <w:spacing w:after="80"/>
            </w:pPr>
            <w:r>
              <w:rPr>
                <w:i/>
                <w:color w:val="5B6777"/>
                <w:sz w:val="17"/>
              </w:rPr>
              <w:t>National healthcare procurement and supply-chain transformation | Egypt</w:t>
            </w:r>
          </w:p>
          <w:p>
            <w:pPr>
              <w:spacing w:after="40"/>
            </w:pPr>
            <w:r>
              <w:rPr>
                <w:b/>
                <w:color w:val="2563EB"/>
              </w:rPr>
              <w:t xml:space="preserve">Challenge: </w:t>
            </w:r>
            <w:r>
              <w:rPr>
                <w:sz w:val="17"/>
              </w:rPr>
              <w:t>Fragmented procurement, inventory, distribution, supplier, and reporting processes required stronger visibility, validation, governance, and operational coordination.</w:t>
            </w:r>
          </w:p>
          <w:p>
            <w:pPr>
              <w:spacing w:after="40"/>
            </w:pPr>
            <w:r>
              <w:rPr>
                <w:b/>
                <w:color w:val="0F766E"/>
              </w:rPr>
              <w:t xml:space="preserve">Contribution: </w:t>
            </w:r>
            <w:r>
              <w:rPr>
                <w:sz w:val="17"/>
              </w:rPr>
              <w:t>Led enterprise architecture and technology governance across procurement workflows, inventory, supplier interaction, mobile execution, master data, integration services, analytics, dashboards, controls, and adoption.</w:t>
            </w:r>
          </w:p>
          <w:p>
            <w:pPr>
              <w:spacing w:after="40"/>
            </w:pPr>
            <w:r>
              <w:rPr>
                <w:b/>
                <w:color w:val="C79A3B"/>
              </w:rPr>
              <w:t xml:space="preserve">Value delivered: </w:t>
            </w:r>
            <w:r>
              <w:rPr>
                <w:sz w:val="17"/>
              </w:rPr>
              <w:t>Created a coordinated digital ecosystem supporting public-sector entities across high-volume workflows, strengthened traceability and validation, and improved the foundation for planning and decision support.</w:t>
            </w:r>
          </w:p>
          <w:p>
            <w:pPr>
              <w:spacing w:after="0"/>
            </w:pPr>
            <w:r>
              <w:rPr>
                <w:b/>
                <w:color w:val="16324F"/>
              </w:rPr>
              <w:t xml:space="preserve">Selected technology: </w:t>
            </w:r>
            <w:r>
              <w:rPr>
                <w:color w:val="5B6777"/>
                <w:sz w:val="17"/>
              </w:rPr>
              <w:t>ASP.NET, C#, React.js, Node.js, GraphQL, MySQL, APIs, mobile services, analytics</w:t>
            </w:r>
          </w:p>
        </w:tc>
      </w:tr>
    </w:tbl>
    <w:p>
      <w:pPr>
        <w:widowControl/>
        <w:spacing w:after="0"/>
      </w:pPr>
    </w:p>
    <w:tbl>
      <w:tblPr>
        <w:tblW w:type="auto" w:w="0"/>
        <w:jc w:val="center"/>
        <w:tblLook w:firstColumn="1" w:firstRow="1" w:lastColumn="0" w:lastRow="0" w:noHBand="0" w:noVBand="1" w:val="04A0"/>
      </w:tblPr>
      <w:tblGrid>
        <w:gridCol w:w="10037"/>
      </w:tblGrid>
      <w:tr>
        <w:tc>
          <w:tcPr>
            <w:tcW w:type="dxa" w:w="10037"/>
            <w:shd w:fill="FFFFFF"/>
            <w:tcMar>
              <w:top w:w="120" w:type="dxa"/>
              <w:start w:w="150" w:type="dxa"/>
              <w:bottom w:w="120" w:type="dxa"/>
              <w:end w:w="150" w:type="dxa"/>
            </w:tcMar>
            <w:tcBorders>
              <w:top w:val="single" w:sz="8" w:color="C79A3B"/>
              <w:bottom w:val="single" w:sz="5" w:color="D6DEE7"/>
              <w:left w:val="single" w:sz="5" w:color="D6DEE7"/>
              <w:right w:val="single" w:sz="5" w:color="D6DEE7"/>
            </w:tcBorders>
          </w:tcPr>
          <w:p>
            <w:pPr>
              <w:spacing w:after="40"/>
            </w:pPr>
            <w:r>
              <w:rPr>
                <w:b/>
                <w:color w:val="0B1F33"/>
                <w:sz w:val="23"/>
              </w:rPr>
              <w:t>Egypt's National Health Sector Data Warehouse</w:t>
            </w:r>
          </w:p>
          <w:p>
            <w:pPr>
              <w:spacing w:after="80"/>
            </w:pPr>
            <w:r>
              <w:rPr>
                <w:i/>
                <w:color w:val="5B6777"/>
                <w:sz w:val="17"/>
              </w:rPr>
              <w:t>Enterprise data and analytics platform | Egypt</w:t>
            </w:r>
          </w:p>
          <w:p>
            <w:pPr>
              <w:spacing w:after="40"/>
            </w:pPr>
            <w:r>
              <w:rPr>
                <w:b/>
                <w:color w:val="2563EB"/>
              </w:rPr>
              <w:t xml:space="preserve">Challenge: </w:t>
            </w:r>
            <w:r>
              <w:rPr>
                <w:sz w:val="17"/>
              </w:rPr>
              <w:t>Operational information existed across multiple systems and structures, requiring governed consolidation, validation, master data, and faster executive reporting.</w:t>
            </w:r>
          </w:p>
          <w:p>
            <w:pPr>
              <w:spacing w:after="40"/>
            </w:pPr>
            <w:r>
              <w:rPr>
                <w:b/>
                <w:color w:val="0F766E"/>
              </w:rPr>
              <w:t xml:space="preserve">Contribution: </w:t>
            </w:r>
            <w:r>
              <w:rPr>
                <w:sz w:val="17"/>
              </w:rPr>
              <w:t>Led architecture of the enterprise data environment, including PostgreSQL, data pipelines, operational data stores, master-data practices, validation controls, Power BI, and Apache Superset.</w:t>
            </w:r>
          </w:p>
          <w:p>
            <w:pPr>
              <w:spacing w:after="40"/>
            </w:pPr>
            <w:r>
              <w:rPr>
                <w:b/>
                <w:color w:val="C79A3B"/>
              </w:rPr>
              <w:t xml:space="preserve">Value delivered: </w:t>
            </w:r>
            <w:r>
              <w:rPr>
                <w:sz w:val="17"/>
              </w:rPr>
              <w:t>Improved data accessibility and decision support and contributed to an approximate 70% reduction in executive reporting preparation time.</w:t>
            </w:r>
          </w:p>
          <w:p>
            <w:pPr>
              <w:spacing w:after="0"/>
            </w:pPr>
            <w:r>
              <w:rPr>
                <w:b/>
                <w:color w:val="16324F"/>
              </w:rPr>
              <w:t xml:space="preserve">Selected technology: </w:t>
            </w:r>
            <w:r>
              <w:rPr>
                <w:color w:val="5B6777"/>
                <w:sz w:val="17"/>
              </w:rPr>
              <w:t>PostgreSQL, data pipelines, MDM, ODS, SQL, Power BI, Apache Superset</w:t>
            </w:r>
          </w:p>
        </w:tc>
      </w:tr>
    </w:tbl>
    <w:p>
      <w:pPr>
        <w:widowControl/>
        <w:spacing w:after="0"/>
      </w:pPr>
    </w:p>
    <w:tbl>
      <w:tblPr>
        <w:tblW w:type="auto" w:w="0"/>
        <w:jc w:val="center"/>
        <w:tblLook w:firstColumn="1" w:firstRow="1" w:lastColumn="0" w:lastRow="0" w:noHBand="0" w:noVBand="1" w:val="04A0"/>
      </w:tblPr>
      <w:tblGrid>
        <w:gridCol w:w="10037"/>
      </w:tblGrid>
      <w:tr>
        <w:tc>
          <w:tcPr>
            <w:tcW w:type="dxa" w:w="10037"/>
            <w:shd w:fill="FFFFFF"/>
            <w:tcMar>
              <w:top w:w="120" w:type="dxa"/>
              <w:start w:w="150" w:type="dxa"/>
              <w:bottom w:w="120" w:type="dxa"/>
              <w:end w:w="150" w:type="dxa"/>
            </w:tcMar>
            <w:tcBorders>
              <w:top w:val="single" w:sz="8" w:color="C79A3B"/>
              <w:bottom w:val="single" w:sz="5" w:color="D6DEE7"/>
              <w:left w:val="single" w:sz="5" w:color="D6DEE7"/>
              <w:right w:val="single" w:sz="5" w:color="D6DEE7"/>
            </w:tcBorders>
          </w:tcPr>
          <w:p>
            <w:pPr>
              <w:spacing w:after="40"/>
            </w:pPr>
            <w:r>
              <w:rPr>
                <w:b/>
                <w:color w:val="0B1F33"/>
                <w:sz w:val="23"/>
              </w:rPr>
              <w:t>Microsoft Dynamics 365 ERP and CRM Integration</w:t>
            </w:r>
          </w:p>
          <w:p>
            <w:pPr>
              <w:spacing w:after="80"/>
            </w:pPr>
            <w:r>
              <w:rPr>
                <w:i/>
                <w:color w:val="5B6777"/>
                <w:sz w:val="17"/>
              </w:rPr>
              <w:t>Enterprise integration and workflow alignment | Egypt</w:t>
            </w:r>
          </w:p>
          <w:p>
            <w:pPr>
              <w:spacing w:after="40"/>
            </w:pPr>
            <w:r>
              <w:rPr>
                <w:b/>
                <w:color w:val="2563EB"/>
              </w:rPr>
              <w:t xml:space="preserve">Challenge: </w:t>
            </w:r>
            <w:r>
              <w:rPr>
                <w:sz w:val="17"/>
              </w:rPr>
              <w:t>Procurement, financial, stakeholder, operational, and reporting processes required controlled exchange between specialised platforms and the enterprise ERP/CRM environment.</w:t>
            </w:r>
          </w:p>
          <w:p>
            <w:pPr>
              <w:spacing w:after="40"/>
            </w:pPr>
            <w:r>
              <w:rPr>
                <w:b/>
                <w:color w:val="0F766E"/>
              </w:rPr>
              <w:t xml:space="preserve">Contribution: </w:t>
            </w:r>
            <w:r>
              <w:rPr>
                <w:sz w:val="17"/>
              </w:rPr>
              <w:t>Directed integration architecture, API connectivity, data mapping, validation, reconciliation, exception handling, workflow alignment, monitoring, and audit controls.</w:t>
            </w:r>
          </w:p>
          <w:p>
            <w:pPr>
              <w:spacing w:after="40"/>
            </w:pPr>
            <w:r>
              <w:rPr>
                <w:b/>
                <w:color w:val="C79A3B"/>
              </w:rPr>
              <w:t xml:space="preserve">Value delivered: </w:t>
            </w:r>
            <w:r>
              <w:rPr>
                <w:sz w:val="17"/>
              </w:rPr>
              <w:t>Enabled governed cross-platform processes and stronger consistency between operational activity, financial records, stakeholder services, and management reporting.</w:t>
            </w:r>
          </w:p>
          <w:p>
            <w:pPr>
              <w:spacing w:after="0"/>
            </w:pPr>
            <w:r>
              <w:rPr>
                <w:b/>
                <w:color w:val="16324F"/>
              </w:rPr>
              <w:t xml:space="preserve">Selected technology: </w:t>
            </w:r>
            <w:r>
              <w:rPr>
                <w:color w:val="5B6777"/>
                <w:sz w:val="17"/>
              </w:rPr>
              <w:t>Microsoft Dynamics 365, REST APIs, data connectors, mapping, reconciliation, audit logs</w:t>
            </w:r>
          </w:p>
        </w:tc>
      </w:tr>
    </w:tbl>
    <w:p>
      <w:pPr>
        <w:widowControl/>
        <w:spacing w:after="0"/>
      </w:pPr>
    </w:p>
    <w:p>
      <w:pPr>
        <w:widowControl/>
      </w:pPr>
      <w:r>
        <w:br w:type="page"/>
      </w:r>
    </w:p>
    <w:tbl>
      <w:tblPr>
        <w:tblW w:type="auto" w:w="0"/>
        <w:jc w:val="center"/>
        <w:tblLayout w:type="fixed"/>
        <w:tblLook w:firstColumn="1" w:firstRow="1" w:lastColumn="0" w:lastRow="0" w:noHBand="0" w:noVBand="1" w:val="04A0"/>
      </w:tblPr>
      <w:tblGrid>
        <w:gridCol w:w="864"/>
        <w:gridCol w:w="9144"/>
      </w:tblGrid>
      <w:tr>
        <w:tc>
          <w:tcPr>
            <w:tcW w:type="dxa" w:w="5018"/>
            <w:shd w:fill="C79A3B"/>
            <w:tcMar>
              <w:top w:w="120" w:type="dxa"/>
              <w:start w:w="140" w:type="dxa"/>
              <w:bottom w:w="120" w:type="dxa"/>
              <w:end w:w="140" w:type="dxa"/>
            </w:tcMar>
            <w:tcBorders>
              <w:top w:val="nil"/>
              <w:bottom w:val="nil"/>
              <w:left w:val="nil"/>
              <w:right w:val="nil"/>
            </w:tcBorders>
          </w:tcPr>
          <w:p>
            <w:pPr>
              <w:jc w:val="center"/>
            </w:pPr>
            <w:r>
              <w:rPr>
                <w:b/>
                <w:color w:val="0B1F33"/>
                <w:sz w:val="32"/>
              </w:rPr>
              <w:t>4A</w:t>
            </w:r>
          </w:p>
        </w:tc>
        <w:tc>
          <w:tcPr>
            <w:tcW w:type="dxa" w:w="5018"/>
            <w:shd w:fill="0B1F33"/>
            <w:tcMar>
              <w:top w:w="120" w:type="dxa"/>
              <w:start w:w="140" w:type="dxa"/>
              <w:bottom w:w="120" w:type="dxa"/>
              <w:end w:w="140" w:type="dxa"/>
            </w:tcMar>
            <w:tcBorders>
              <w:top w:val="nil"/>
              <w:bottom w:val="nil"/>
              <w:left w:val="nil"/>
              <w:right w:val="nil"/>
            </w:tcBorders>
          </w:tcPr>
          <w:p>
            <w:pPr>
              <w:spacing w:after="0"/>
            </w:pPr>
            <w:r>
              <w:rPr>
                <w:b/>
                <w:color w:val="FFFFFF"/>
                <w:sz w:val="30"/>
              </w:rPr>
              <w:t>SELECTED ENTERPRISE PLATFORMS - CONTINUED</w:t>
            </w:r>
          </w:p>
          <w:p>
            <w:pPr>
              <w:spacing w:before="40" w:after="0"/>
            </w:pPr>
            <w:r>
              <w:rPr>
                <w:color w:val="D9E7F5"/>
                <w:sz w:val="17"/>
              </w:rPr>
              <w:t>Government, regulatory, education, analytics, and service-delivery programmes</w:t>
            </w:r>
          </w:p>
        </w:tc>
      </w:tr>
    </w:tbl>
    <w:p>
      <w:pPr>
        <w:widowControl/>
        <w:spacing w:after="0"/>
      </w:pPr>
    </w:p>
    <w:tbl>
      <w:tblPr>
        <w:tblW w:type="auto" w:w="0"/>
        <w:jc w:val="center"/>
        <w:tblLook w:firstColumn="1" w:firstRow="1" w:lastColumn="0" w:lastRow="0" w:noHBand="0" w:noVBand="1" w:val="04A0"/>
      </w:tblPr>
      <w:tblGrid>
        <w:gridCol w:w="10037"/>
      </w:tblGrid>
      <w:tr>
        <w:tc>
          <w:tcPr>
            <w:tcW w:type="dxa" w:w="10037"/>
            <w:shd w:fill="FFFFFF"/>
            <w:tcMar>
              <w:top w:w="120" w:type="dxa"/>
              <w:start w:w="150" w:type="dxa"/>
              <w:bottom w:w="120" w:type="dxa"/>
              <w:end w:w="150" w:type="dxa"/>
            </w:tcMar>
            <w:tcBorders>
              <w:top w:val="single" w:sz="8" w:color="C79A3B"/>
              <w:bottom w:val="single" w:sz="5" w:color="D6DEE7"/>
              <w:left w:val="single" w:sz="5" w:color="D6DEE7"/>
              <w:right w:val="single" w:sz="5" w:color="D6DEE7"/>
            </w:tcBorders>
          </w:tcPr>
          <w:p>
            <w:pPr>
              <w:spacing w:after="40"/>
            </w:pPr>
            <w:r>
              <w:rPr>
                <w:b/>
                <w:color w:val="0B1F33"/>
                <w:sz w:val="23"/>
              </w:rPr>
              <w:t>National Pharmaceutical Track and Trace Programme</w:t>
            </w:r>
          </w:p>
          <w:p>
            <w:pPr>
              <w:spacing w:after="80"/>
            </w:pPr>
            <w:r>
              <w:rPr>
                <w:i/>
                <w:color w:val="5B6777"/>
                <w:sz w:val="17"/>
              </w:rPr>
              <w:t>Multi-agency governance and interoperability | Egypt</w:t>
            </w:r>
          </w:p>
          <w:p>
            <w:pPr>
              <w:spacing w:after="40"/>
            </w:pPr>
            <w:r>
              <w:rPr>
                <w:b/>
                <w:color w:val="2563EB"/>
              </w:rPr>
              <w:t xml:space="preserve">Challenge: </w:t>
            </w:r>
            <w:r>
              <w:rPr>
                <w:sz w:val="17"/>
              </w:rPr>
              <w:t>A national programme required a clear vision, governance framework, compliance model, institutional coordination, and technology roadmap across multiple public authorities.</w:t>
            </w:r>
          </w:p>
          <w:p>
            <w:pPr>
              <w:spacing w:after="40"/>
            </w:pPr>
            <w:r>
              <w:rPr>
                <w:b/>
                <w:color w:val="0F766E"/>
              </w:rPr>
              <w:t xml:space="preserve">Contribution: </w:t>
            </w:r>
            <w:r>
              <w:rPr>
                <w:sz w:val="17"/>
              </w:rPr>
              <w:t>Served as governance lead, shaping programme vision, decision structures, compliance considerations, stakeholder alignment, and the technology roadmap with UPA, the Egyptian Drug Authority, and the Ministry of Health.</w:t>
            </w:r>
          </w:p>
          <w:p>
            <w:pPr>
              <w:spacing w:after="40"/>
            </w:pPr>
            <w:r>
              <w:rPr>
                <w:b/>
                <w:color w:val="C79A3B"/>
              </w:rPr>
              <w:t xml:space="preserve">Value delivered: </w:t>
            </w:r>
            <w:r>
              <w:rPr>
                <w:sz w:val="17"/>
              </w:rPr>
              <w:t>Strengthened the strategic and governance foundation for national pharmaceutical traceability and cross-agency coordination.</w:t>
            </w:r>
          </w:p>
          <w:p>
            <w:pPr>
              <w:spacing w:after="0"/>
            </w:pPr>
            <w:r>
              <w:rPr>
                <w:b/>
                <w:color w:val="16324F"/>
              </w:rPr>
              <w:t xml:space="preserve">Selected technology: </w:t>
            </w:r>
            <w:r>
              <w:rPr>
                <w:color w:val="5B6777"/>
                <w:sz w:val="17"/>
              </w:rPr>
              <w:t>Governance framework, compliance model, interoperability principles, programme roadmap</w:t>
            </w:r>
          </w:p>
        </w:tc>
      </w:tr>
    </w:tbl>
    <w:p>
      <w:pPr>
        <w:widowControl/>
        <w:spacing w:after="0"/>
      </w:pPr>
    </w:p>
    <w:tbl>
      <w:tblPr>
        <w:tblW w:type="auto" w:w="0"/>
        <w:jc w:val="center"/>
        <w:tblLook w:firstColumn="1" w:firstRow="1" w:lastColumn="0" w:lastRow="0" w:noHBand="0" w:noVBand="1" w:val="04A0"/>
      </w:tblPr>
      <w:tblGrid>
        <w:gridCol w:w="10037"/>
      </w:tblGrid>
      <w:tr>
        <w:tc>
          <w:tcPr>
            <w:tcW w:type="dxa" w:w="10037"/>
            <w:shd w:fill="FFFFFF"/>
            <w:tcMar>
              <w:top w:w="120" w:type="dxa"/>
              <w:start w:w="150" w:type="dxa"/>
              <w:bottom w:w="120" w:type="dxa"/>
              <w:end w:w="150" w:type="dxa"/>
            </w:tcMar>
            <w:tcBorders>
              <w:top w:val="single" w:sz="8" w:color="C79A3B"/>
              <w:bottom w:val="single" w:sz="5" w:color="D6DEE7"/>
              <w:left w:val="single" w:sz="5" w:color="D6DEE7"/>
              <w:right w:val="single" w:sz="5" w:color="D6DEE7"/>
            </w:tcBorders>
          </w:tcPr>
          <w:p>
            <w:pPr>
              <w:spacing w:after="40"/>
            </w:pPr>
            <w:r>
              <w:rPr>
                <w:b/>
                <w:color w:val="0B1F33"/>
                <w:sz w:val="23"/>
              </w:rPr>
              <w:t>Oman National Educational Portal</w:t>
            </w:r>
          </w:p>
          <w:p>
            <w:pPr>
              <w:spacing w:after="80"/>
            </w:pPr>
            <w:r>
              <w:rPr>
                <w:i/>
                <w:color w:val="5B6777"/>
                <w:sz w:val="17"/>
              </w:rPr>
              <w:t>Large-scale education technology platform | Sultanate of Oman</w:t>
            </w:r>
          </w:p>
          <w:p>
            <w:pPr>
              <w:spacing w:after="40"/>
            </w:pPr>
            <w:r>
              <w:rPr>
                <w:b/>
                <w:color w:val="2563EB"/>
              </w:rPr>
              <w:t xml:space="preserve">Challenge: </w:t>
            </w:r>
            <w:r>
              <w:rPr>
                <w:sz w:val="17"/>
              </w:rPr>
              <w:t>The education environment required an integrated digital platform supporting learning content, academic records, administration, user management, and performance visibility.</w:t>
            </w:r>
          </w:p>
          <w:p>
            <w:pPr>
              <w:spacing w:after="40"/>
            </w:pPr>
            <w:r>
              <w:rPr>
                <w:b/>
                <w:color w:val="0F766E"/>
              </w:rPr>
              <w:t xml:space="preserve">Contribution: </w:t>
            </w:r>
            <w:r>
              <w:rPr>
                <w:sz w:val="17"/>
              </w:rPr>
              <w:t>Led full-cycle delivery and cross-border engineering coordination for the portal, including solution design, development, quality practices, stakeholder collaboration, documentation, and implementation support.</w:t>
            </w:r>
          </w:p>
          <w:p>
            <w:pPr>
              <w:spacing w:after="40"/>
            </w:pPr>
            <w:r>
              <w:rPr>
                <w:b/>
                <w:color w:val="C79A3B"/>
              </w:rPr>
              <w:t xml:space="preserve">Value delivered: </w:t>
            </w:r>
            <w:r>
              <w:rPr>
                <w:sz w:val="17"/>
              </w:rPr>
              <w:t>Delivered an integrated e-learning and academic-management environment aligned with local e-government standards and institutional requirements.</w:t>
            </w:r>
          </w:p>
          <w:p>
            <w:pPr>
              <w:spacing w:after="0"/>
            </w:pPr>
            <w:r>
              <w:rPr>
                <w:b/>
                <w:color w:val="16324F"/>
              </w:rPr>
              <w:t xml:space="preserve">Selected technology: </w:t>
            </w:r>
            <w:r>
              <w:rPr>
                <w:color w:val="5B6777"/>
                <w:sz w:val="17"/>
              </w:rPr>
              <w:t>ASP.NET, C#, SQL Server, LMS modules, content management, dashboards</w:t>
            </w:r>
          </w:p>
        </w:tc>
      </w:tr>
    </w:tbl>
    <w:p>
      <w:pPr>
        <w:widowControl/>
        <w:spacing w:after="0"/>
      </w:pPr>
    </w:p>
    <w:tbl>
      <w:tblPr>
        <w:tblW w:type="auto" w:w="0"/>
        <w:jc w:val="center"/>
        <w:tblLook w:firstColumn="1" w:firstRow="1" w:lastColumn="0" w:lastRow="0" w:noHBand="0" w:noVBand="1" w:val="04A0"/>
      </w:tblPr>
      <w:tblGrid>
        <w:gridCol w:w="10037"/>
      </w:tblGrid>
      <w:tr>
        <w:tc>
          <w:tcPr>
            <w:tcW w:type="dxa" w:w="10037"/>
            <w:shd w:fill="FFFFFF"/>
            <w:tcMar>
              <w:top w:w="120" w:type="dxa"/>
              <w:start w:w="150" w:type="dxa"/>
              <w:bottom w:w="120" w:type="dxa"/>
              <w:end w:w="150" w:type="dxa"/>
            </w:tcMar>
            <w:tcBorders>
              <w:top w:val="single" w:sz="8" w:color="C79A3B"/>
              <w:bottom w:val="single" w:sz="5" w:color="D6DEE7"/>
              <w:left w:val="single" w:sz="5" w:color="D6DEE7"/>
              <w:right w:val="single" w:sz="5" w:color="D6DEE7"/>
            </w:tcBorders>
          </w:tcPr>
          <w:p>
            <w:pPr>
              <w:spacing w:after="40"/>
            </w:pPr>
            <w:r>
              <w:rPr>
                <w:b/>
                <w:color w:val="0B1F33"/>
                <w:sz w:val="23"/>
              </w:rPr>
              <w:t>Health Technology Assessment Platform</w:t>
            </w:r>
          </w:p>
          <w:p>
            <w:pPr>
              <w:spacing w:after="80"/>
            </w:pPr>
            <w:r>
              <w:rPr>
                <w:i/>
                <w:color w:val="5B6777"/>
                <w:sz w:val="17"/>
              </w:rPr>
              <w:t>Evidence workflow and regulatory decision support | Egypt</w:t>
            </w:r>
          </w:p>
          <w:p>
            <w:pPr>
              <w:spacing w:after="40"/>
            </w:pPr>
            <w:r>
              <w:rPr>
                <w:b/>
                <w:color w:val="2563EB"/>
              </w:rPr>
              <w:t xml:space="preserve">Challenge: </w:t>
            </w:r>
            <w:r>
              <w:rPr>
                <w:sz w:val="17"/>
              </w:rPr>
              <w:t>Assessment activities required more transparent workflows, audit traceability, controlled evidence review, compliance reporting, and management visibility.</w:t>
            </w:r>
          </w:p>
          <w:p>
            <w:pPr>
              <w:spacing w:after="40"/>
            </w:pPr>
            <w:r>
              <w:rPr>
                <w:b/>
                <w:color w:val="0F766E"/>
              </w:rPr>
              <w:t xml:space="preserve">Contribution: </w:t>
            </w:r>
            <w:r>
              <w:rPr>
                <w:sz w:val="17"/>
              </w:rPr>
              <w:t>Directed digitisation of assessment workflows, roles, evidence handling, audit logs, dashboards, and compliance-oriented reporting capabilities.</w:t>
            </w:r>
          </w:p>
          <w:p>
            <w:pPr>
              <w:spacing w:after="40"/>
            </w:pPr>
            <w:r>
              <w:rPr>
                <w:b/>
                <w:color w:val="C79A3B"/>
              </w:rPr>
              <w:t xml:space="preserve">Value delivered: </w:t>
            </w:r>
            <w:r>
              <w:rPr>
                <w:sz w:val="17"/>
              </w:rPr>
              <w:t>Strengthened process transparency, traceability, and the foundation for faster, more consistent evidence-based decision-making.</w:t>
            </w:r>
          </w:p>
          <w:p>
            <w:pPr>
              <w:spacing w:after="0"/>
            </w:pPr>
            <w:r>
              <w:rPr>
                <w:b/>
                <w:color w:val="16324F"/>
              </w:rPr>
              <w:t xml:space="preserve">Selected technology: </w:t>
            </w:r>
            <w:r>
              <w:rPr>
                <w:color w:val="5B6777"/>
                <w:sz w:val="17"/>
              </w:rPr>
              <w:t>Workflow engine, dashboards, audit logs, role-based access, compliance reporting</w:t>
            </w:r>
          </w:p>
        </w:tc>
      </w:tr>
    </w:tbl>
    <w:p>
      <w:pPr>
        <w:widowControl/>
        <w:spacing w:after="0"/>
      </w:pPr>
    </w:p>
    <w:p>
      <w:pPr>
        <w:widowControl/>
      </w:pPr>
      <w:r>
        <w:br w:type="page"/>
      </w:r>
    </w:p>
    <w:tbl>
      <w:tblPr>
        <w:tblW w:type="auto" w:w="0"/>
        <w:jc w:val="center"/>
        <w:tblLayout w:type="fixed"/>
        <w:tblLook w:firstColumn="1" w:firstRow="1" w:lastColumn="0" w:lastRow="0" w:noHBand="0" w:noVBand="1" w:val="04A0"/>
      </w:tblPr>
      <w:tblGrid>
        <w:gridCol w:w="864"/>
        <w:gridCol w:w="9144"/>
      </w:tblGrid>
      <w:tr>
        <w:tc>
          <w:tcPr>
            <w:tcW w:type="dxa" w:w="5018"/>
            <w:shd w:fill="C79A3B"/>
            <w:tcMar>
              <w:top w:w="120" w:type="dxa"/>
              <w:start w:w="140" w:type="dxa"/>
              <w:bottom w:w="120" w:type="dxa"/>
              <w:end w:w="140" w:type="dxa"/>
            </w:tcMar>
            <w:tcBorders>
              <w:top w:val="nil"/>
              <w:bottom w:val="nil"/>
              <w:left w:val="nil"/>
              <w:right w:val="nil"/>
            </w:tcBorders>
          </w:tcPr>
          <w:p>
            <w:pPr>
              <w:jc w:val="center"/>
            </w:pPr>
            <w:r>
              <w:rPr>
                <w:b/>
                <w:color w:val="0B1F33"/>
                <w:sz w:val="32"/>
              </w:rPr>
              <w:t>4B</w:t>
            </w:r>
          </w:p>
        </w:tc>
        <w:tc>
          <w:tcPr>
            <w:tcW w:type="dxa" w:w="5018"/>
            <w:shd w:fill="0B1F33"/>
            <w:tcMar>
              <w:top w:w="120" w:type="dxa"/>
              <w:start w:w="140" w:type="dxa"/>
              <w:bottom w:w="120" w:type="dxa"/>
              <w:end w:w="140" w:type="dxa"/>
            </w:tcMar>
            <w:tcBorders>
              <w:top w:val="nil"/>
              <w:bottom w:val="nil"/>
              <w:left w:val="nil"/>
              <w:right w:val="nil"/>
            </w:tcBorders>
          </w:tcPr>
          <w:p>
            <w:pPr>
              <w:spacing w:after="0"/>
            </w:pPr>
            <w:r>
              <w:rPr>
                <w:b/>
                <w:color w:val="FFFFFF"/>
                <w:sz w:val="30"/>
              </w:rPr>
              <w:t>ADDITIONAL PORTFOLIO HIGHLIGHTS</w:t>
            </w:r>
          </w:p>
          <w:p>
            <w:pPr>
              <w:spacing w:before="40" w:after="0"/>
            </w:pPr>
            <w:r>
              <w:rPr>
                <w:color w:val="D9E7F5"/>
                <w:sz w:val="17"/>
              </w:rPr>
              <w:t>A broader view of enterprise applications, public services, analytics, and operational platforms</w:t>
            </w:r>
          </w:p>
        </w:tc>
      </w:tr>
    </w:tbl>
    <w:p>
      <w:pPr>
        <w:widowControl/>
        <w:spacing w:after="0"/>
      </w:pPr>
    </w:p>
    <w:tbl>
      <w:tblPr>
        <w:tblStyle w:val="TableGrid"/>
        <w:tblW w:type="auto" w:w="0"/>
        <w:jc w:val="center"/>
        <w:tblLook w:firstColumn="1" w:firstRow="1" w:lastColumn="0" w:lastRow="0" w:noHBand="0" w:noVBand="1" w:val="04A0"/>
      </w:tblPr>
      <w:tblGrid>
        <w:gridCol w:w="3346"/>
        <w:gridCol w:w="3346"/>
        <w:gridCol w:w="3346"/>
      </w:tblGrid>
      <w:tr>
        <w:trPr>
          <w:tblHeader w:val="true"/>
        </w:trPr>
        <w:tc>
          <w:tcPr>
            <w:tcW w:type="dxa" w:w="3346"/>
            <w:shd w:fill="0B1F33"/>
            <w:tcMar>
              <w:top w:w="90" w:type="dxa"/>
              <w:start w:w="100" w:type="dxa"/>
              <w:bottom w:w="90" w:type="dxa"/>
              <w:end w:w="100" w:type="dxa"/>
            </w:tcMar>
          </w:tcPr>
          <w:p>
            <w:pPr>
              <w:jc w:val="center"/>
            </w:pPr>
            <w:r>
              <w:rPr>
                <w:b/>
                <w:color w:val="FFFFFF"/>
                <w:sz w:val="17"/>
              </w:rPr>
              <w:t>Platform / programme</w:t>
            </w:r>
          </w:p>
        </w:tc>
        <w:tc>
          <w:tcPr>
            <w:tcW w:type="dxa" w:w="3346"/>
            <w:shd w:fill="0B1F33"/>
            <w:tcMar>
              <w:top w:w="90" w:type="dxa"/>
              <w:start w:w="100" w:type="dxa"/>
              <w:bottom w:w="90" w:type="dxa"/>
              <w:end w:w="100" w:type="dxa"/>
            </w:tcMar>
          </w:tcPr>
          <w:p>
            <w:pPr>
              <w:jc w:val="center"/>
            </w:pPr>
            <w:r>
              <w:rPr>
                <w:b/>
                <w:color w:val="FFFFFF"/>
                <w:sz w:val="17"/>
              </w:rPr>
              <w:t>Purpose and value</w:t>
            </w:r>
          </w:p>
        </w:tc>
        <w:tc>
          <w:tcPr>
            <w:tcW w:type="dxa" w:w="3346"/>
            <w:shd w:fill="0B1F33"/>
            <w:tcMar>
              <w:top w:w="90" w:type="dxa"/>
              <w:start w:w="100" w:type="dxa"/>
              <w:bottom w:w="90" w:type="dxa"/>
              <w:end w:w="100" w:type="dxa"/>
            </w:tcMar>
          </w:tcPr>
          <w:p>
            <w:pPr>
              <w:jc w:val="center"/>
            </w:pPr>
            <w:r>
              <w:rPr>
                <w:b/>
                <w:color w:val="FFFFFF"/>
                <w:sz w:val="17"/>
              </w:rPr>
              <w:t>Selected technology</w:t>
            </w:r>
          </w:p>
        </w:tc>
      </w:tr>
      <w:tr>
        <w:tc>
          <w:tcPr>
            <w:tcW w:type="dxa" w:w="3346"/>
            <w:tcMar>
              <w:top w:w="75" w:type="dxa"/>
              <w:start w:w="90" w:type="dxa"/>
              <w:bottom w:w="75" w:type="dxa"/>
              <w:end w:w="90" w:type="dxa"/>
            </w:tcMar>
            <w:vAlign w:val="top"/>
          </w:tcPr>
          <w:p>
            <w:pPr>
              <w:spacing w:after="0"/>
            </w:pPr>
            <w:r>
              <w:rPr>
                <w:b/>
                <w:color w:val="0B1F33"/>
                <w:sz w:val="16"/>
              </w:rPr>
              <w:t>Strategic Analytics and Reporting Layer</w:t>
            </w:r>
          </w:p>
        </w:tc>
        <w:tc>
          <w:tcPr>
            <w:tcW w:type="dxa" w:w="3346"/>
            <w:tcMar>
              <w:top w:w="75" w:type="dxa"/>
              <w:start w:w="90" w:type="dxa"/>
              <w:bottom w:w="75" w:type="dxa"/>
              <w:end w:w="90" w:type="dxa"/>
            </w:tcMar>
            <w:vAlign w:val="top"/>
          </w:tcPr>
          <w:p>
            <w:pPr>
              <w:spacing w:after="0"/>
            </w:pPr>
            <w:r>
              <w:rPr>
                <w:sz w:val="16"/>
              </w:rPr>
              <w:t>Real-time KPI visibility, automated validation, quality assurance, and executive operational intelligence.</w:t>
            </w:r>
          </w:p>
        </w:tc>
        <w:tc>
          <w:tcPr>
            <w:tcW w:type="dxa" w:w="3346"/>
            <w:tcMar>
              <w:top w:w="75" w:type="dxa"/>
              <w:start w:w="90" w:type="dxa"/>
              <w:bottom w:w="75" w:type="dxa"/>
              <w:end w:w="90" w:type="dxa"/>
            </w:tcMar>
            <w:vAlign w:val="top"/>
          </w:tcPr>
          <w:p>
            <w:pPr>
              <w:spacing w:after="0"/>
            </w:pPr>
            <w:r>
              <w:rPr>
                <w:sz w:val="16"/>
              </w:rPr>
              <w:t>Power BI, Apache Superset, SQL, PostgreSQL</w:t>
            </w:r>
          </w:p>
        </w:tc>
      </w:tr>
      <w:tr>
        <w:tc>
          <w:tcPr>
            <w:tcW w:type="dxa" w:w="3346"/>
            <w:tcMar>
              <w:top w:w="75" w:type="dxa"/>
              <w:start w:w="90" w:type="dxa"/>
              <w:bottom w:w="75" w:type="dxa"/>
              <w:end w:w="90" w:type="dxa"/>
            </w:tcMar>
            <w:vAlign w:val="top"/>
          </w:tcPr>
          <w:p>
            <w:pPr>
              <w:spacing w:after="0"/>
            </w:pPr>
            <w:r>
              <w:rPr>
                <w:b/>
                <w:color w:val="0B1F33"/>
                <w:sz w:val="16"/>
              </w:rPr>
              <w:t>Tenders and Contracts Management System</w:t>
            </w:r>
          </w:p>
        </w:tc>
        <w:tc>
          <w:tcPr>
            <w:tcW w:type="dxa" w:w="3346"/>
            <w:tcMar>
              <w:top w:w="75" w:type="dxa"/>
              <w:start w:w="90" w:type="dxa"/>
              <w:bottom w:w="75" w:type="dxa"/>
              <w:end w:w="90" w:type="dxa"/>
            </w:tcMar>
            <w:vAlign w:val="top"/>
          </w:tcPr>
          <w:p>
            <w:pPr>
              <w:spacing w:after="0"/>
            </w:pPr>
            <w:r>
              <w:rPr>
                <w:sz w:val="16"/>
              </w:rPr>
              <w:t>Digital approvals, vendor scoring, contract workflows, activity management, role-based controls, and audit traceability.</w:t>
            </w:r>
          </w:p>
        </w:tc>
        <w:tc>
          <w:tcPr>
            <w:tcW w:type="dxa" w:w="3346"/>
            <w:tcMar>
              <w:top w:w="75" w:type="dxa"/>
              <w:start w:w="90" w:type="dxa"/>
              <w:bottom w:w="75" w:type="dxa"/>
              <w:end w:w="90" w:type="dxa"/>
            </w:tcMar>
            <w:vAlign w:val="top"/>
          </w:tcPr>
          <w:p>
            <w:pPr>
              <w:spacing w:after="0"/>
            </w:pPr>
            <w:r>
              <w:rPr>
                <w:sz w:val="16"/>
              </w:rPr>
              <w:t>ASP.NET, C#, MySQL, JavaScript, RBAC</w:t>
            </w:r>
          </w:p>
        </w:tc>
      </w:tr>
      <w:tr>
        <w:tc>
          <w:tcPr>
            <w:tcW w:type="dxa" w:w="3346"/>
            <w:tcMar>
              <w:top w:w="75" w:type="dxa"/>
              <w:start w:w="90" w:type="dxa"/>
              <w:bottom w:w="75" w:type="dxa"/>
              <w:end w:w="90" w:type="dxa"/>
            </w:tcMar>
            <w:vAlign w:val="top"/>
          </w:tcPr>
          <w:p>
            <w:pPr>
              <w:spacing w:after="0"/>
            </w:pPr>
            <w:r>
              <w:rPr>
                <w:b/>
                <w:color w:val="0B1F33"/>
                <w:sz w:val="16"/>
              </w:rPr>
              <w:t>Order Tracking and SLA Visibility System</w:t>
            </w:r>
          </w:p>
        </w:tc>
        <w:tc>
          <w:tcPr>
            <w:tcW w:type="dxa" w:w="3346"/>
            <w:tcMar>
              <w:top w:w="75" w:type="dxa"/>
              <w:start w:w="90" w:type="dxa"/>
              <w:bottom w:w="75" w:type="dxa"/>
              <w:end w:w="90" w:type="dxa"/>
            </w:tcMar>
            <w:vAlign w:val="top"/>
          </w:tcPr>
          <w:p>
            <w:pPr>
              <w:spacing w:after="0"/>
            </w:pPr>
            <w:r>
              <w:rPr>
                <w:sz w:val="16"/>
              </w:rPr>
              <w:t>Real-time fulfilment tracking, SLA alerts, ownership dashboards, escalation workflows, and service monitoring.</w:t>
            </w:r>
          </w:p>
        </w:tc>
        <w:tc>
          <w:tcPr>
            <w:tcW w:type="dxa" w:w="3346"/>
            <w:tcMar>
              <w:top w:w="75" w:type="dxa"/>
              <w:start w:w="90" w:type="dxa"/>
              <w:bottom w:w="75" w:type="dxa"/>
              <w:end w:w="90" w:type="dxa"/>
            </w:tcMar>
            <w:vAlign w:val="top"/>
          </w:tcPr>
          <w:p>
            <w:pPr>
              <w:spacing w:after="0"/>
            </w:pPr>
            <w:r>
              <w:rPr>
                <w:sz w:val="16"/>
              </w:rPr>
              <w:t>Workflow alerts, dashboards, BI, real-time tracking</w:t>
            </w:r>
          </w:p>
        </w:tc>
      </w:tr>
      <w:tr>
        <w:tc>
          <w:tcPr>
            <w:tcW w:type="dxa" w:w="3346"/>
            <w:tcMar>
              <w:top w:w="75" w:type="dxa"/>
              <w:start w:w="90" w:type="dxa"/>
              <w:bottom w:w="75" w:type="dxa"/>
              <w:end w:w="90" w:type="dxa"/>
            </w:tcMar>
            <w:vAlign w:val="top"/>
          </w:tcPr>
          <w:p>
            <w:pPr>
              <w:spacing w:after="0"/>
            </w:pPr>
            <w:r>
              <w:rPr>
                <w:b/>
                <w:color w:val="0B1F33"/>
                <w:sz w:val="16"/>
              </w:rPr>
              <w:t>Government Portals in Egypt and Oman</w:t>
            </w:r>
          </w:p>
        </w:tc>
        <w:tc>
          <w:tcPr>
            <w:tcW w:type="dxa" w:w="3346"/>
            <w:tcMar>
              <w:top w:w="75" w:type="dxa"/>
              <w:start w:w="90" w:type="dxa"/>
              <w:bottom w:w="75" w:type="dxa"/>
              <w:end w:w="90" w:type="dxa"/>
            </w:tcMar>
            <w:vAlign w:val="top"/>
          </w:tcPr>
          <w:p>
            <w:pPr>
              <w:spacing w:after="0"/>
            </w:pPr>
            <w:r>
              <w:rPr>
                <w:sz w:val="16"/>
              </w:rPr>
              <w:t>Public information, service transparency, permits, GIS-enabled services, citizen engagement, and content governance.</w:t>
            </w:r>
          </w:p>
        </w:tc>
        <w:tc>
          <w:tcPr>
            <w:tcW w:type="dxa" w:w="3346"/>
            <w:tcMar>
              <w:top w:w="75" w:type="dxa"/>
              <w:start w:w="90" w:type="dxa"/>
              <w:bottom w:w="75" w:type="dxa"/>
              <w:end w:w="90" w:type="dxa"/>
            </w:tcMar>
            <w:vAlign w:val="top"/>
          </w:tcPr>
          <w:p>
            <w:pPr>
              <w:spacing w:after="0"/>
            </w:pPr>
            <w:r>
              <w:rPr>
                <w:sz w:val="16"/>
              </w:rPr>
              <w:t>ASP.NET, CMS, SQL Server, GIS integration</w:t>
            </w:r>
          </w:p>
        </w:tc>
      </w:tr>
      <w:tr>
        <w:tc>
          <w:tcPr>
            <w:tcW w:type="dxa" w:w="3346"/>
            <w:tcMar>
              <w:top w:w="75" w:type="dxa"/>
              <w:start w:w="90" w:type="dxa"/>
              <w:bottom w:w="75" w:type="dxa"/>
              <w:end w:w="90" w:type="dxa"/>
            </w:tcMar>
            <w:vAlign w:val="top"/>
          </w:tcPr>
          <w:p>
            <w:pPr>
              <w:spacing w:after="0"/>
            </w:pPr>
            <w:r>
              <w:rPr>
                <w:b/>
                <w:color w:val="0B1F33"/>
                <w:sz w:val="16"/>
              </w:rPr>
              <w:t>Supply and Procurement Analytics Enablement</w:t>
            </w:r>
          </w:p>
        </w:tc>
        <w:tc>
          <w:tcPr>
            <w:tcW w:type="dxa" w:w="3346"/>
            <w:tcMar>
              <w:top w:w="75" w:type="dxa"/>
              <w:start w:w="90" w:type="dxa"/>
              <w:bottom w:w="75" w:type="dxa"/>
              <w:end w:w="90" w:type="dxa"/>
            </w:tcMar>
            <w:vAlign w:val="top"/>
          </w:tcPr>
          <w:p>
            <w:pPr>
              <w:spacing w:after="0"/>
            </w:pPr>
            <w:r>
              <w:rPr>
                <w:sz w:val="16"/>
              </w:rPr>
              <w:t>Demand planning support, anomaly identification, risk assessment, cost-optimisation analysis, and executive insight.</w:t>
            </w:r>
          </w:p>
        </w:tc>
        <w:tc>
          <w:tcPr>
            <w:tcW w:type="dxa" w:w="3346"/>
            <w:tcMar>
              <w:top w:w="75" w:type="dxa"/>
              <w:start w:w="90" w:type="dxa"/>
              <w:bottom w:w="75" w:type="dxa"/>
              <w:end w:w="90" w:type="dxa"/>
            </w:tcMar>
            <w:vAlign w:val="top"/>
          </w:tcPr>
          <w:p>
            <w:pPr>
              <w:spacing w:after="0"/>
            </w:pPr>
            <w:r>
              <w:rPr>
                <w:sz w:val="16"/>
              </w:rPr>
              <w:t>PostgreSQL, SQL, forecasting support, risk analytics</w:t>
            </w:r>
          </w:p>
        </w:tc>
      </w:tr>
      <w:tr>
        <w:tc>
          <w:tcPr>
            <w:tcW w:type="dxa" w:w="3346"/>
            <w:tcMar>
              <w:top w:w="75" w:type="dxa"/>
              <w:start w:w="90" w:type="dxa"/>
              <w:bottom w:w="75" w:type="dxa"/>
              <w:end w:w="90" w:type="dxa"/>
            </w:tcMar>
            <w:vAlign w:val="top"/>
          </w:tcPr>
          <w:p>
            <w:pPr>
              <w:spacing w:after="0"/>
            </w:pPr>
            <w:r>
              <w:rPr>
                <w:b/>
                <w:color w:val="0B1F33"/>
                <w:sz w:val="16"/>
              </w:rPr>
              <w:t>Additional Enterprise Applications</w:t>
            </w:r>
          </w:p>
        </w:tc>
        <w:tc>
          <w:tcPr>
            <w:tcW w:type="dxa" w:w="3346"/>
            <w:tcMar>
              <w:top w:w="75" w:type="dxa"/>
              <w:start w:w="90" w:type="dxa"/>
              <w:bottom w:w="75" w:type="dxa"/>
              <w:end w:w="90" w:type="dxa"/>
            </w:tcMar>
            <w:vAlign w:val="top"/>
          </w:tcPr>
          <w:p>
            <w:pPr>
              <w:spacing w:after="0"/>
            </w:pPr>
            <w:r>
              <w:rPr>
                <w:sz w:val="16"/>
              </w:rPr>
              <w:t>Electronic pharmacy, correspondence, asset management, crisis management, recruitment ATS, customer care, notifications, SMS gateway, and unified mobile services.</w:t>
            </w:r>
          </w:p>
        </w:tc>
        <w:tc>
          <w:tcPr>
            <w:tcW w:type="dxa" w:w="3346"/>
            <w:tcMar>
              <w:top w:w="75" w:type="dxa"/>
              <w:start w:w="90" w:type="dxa"/>
              <w:bottom w:w="75" w:type="dxa"/>
              <w:end w:w="90" w:type="dxa"/>
            </w:tcMar>
            <w:vAlign w:val="top"/>
          </w:tcPr>
          <w:p>
            <w:pPr>
              <w:spacing w:after="0"/>
            </w:pPr>
            <w:r>
              <w:rPr>
                <w:sz w:val="16"/>
              </w:rPr>
              <w:t>.NET, web APIs, databases, workflow, mobile integration</w:t>
            </w:r>
          </w:p>
        </w:tc>
      </w:tr>
    </w:tbl>
    <w:p>
      <w:pPr>
        <w:keepNext/>
        <w:widowControl/>
        <w:spacing w:before="120" w:after="80"/>
      </w:pPr>
      <w:r>
        <w:rPr>
          <w:rFonts w:ascii="Aptos Display" w:hAnsi="Aptos Display"/>
          <w:b/>
          <w:color w:val="0F766E"/>
          <w:sz w:val="25"/>
        </w:rPr>
        <w:t>Scale and delivery evidence</w:t>
      </w:r>
    </w:p>
    <w:p>
      <w:pPr>
        <w:pStyle w:val="ListBullet"/>
        <w:keepLines/>
        <w:widowControl/>
        <w:spacing w:after="60" w:line="245" w:lineRule="auto"/>
      </w:pPr>
      <w:r>
        <w:t>Enterprise technology portfolio exceeding EGP 150 million.</w:t>
      </w:r>
    </w:p>
    <w:p>
      <w:pPr>
        <w:pStyle w:val="ListBullet"/>
        <w:keepLines/>
        <w:widowControl/>
        <w:spacing w:after="60" w:line="245" w:lineRule="auto"/>
      </w:pPr>
      <w:r>
        <w:t>Leadership of a multidisciplinary organisation of more than 40 professionals.</w:t>
      </w:r>
    </w:p>
    <w:p>
      <w:pPr>
        <w:pStyle w:val="ListBullet"/>
        <w:keepLines/>
        <w:widowControl/>
        <w:spacing w:after="60" w:line="245" w:lineRule="auto"/>
      </w:pPr>
      <w:r>
        <w:t>Platforms supporting more than 12,000 public-sector entities.</w:t>
      </w:r>
    </w:p>
    <w:p>
      <w:pPr>
        <w:pStyle w:val="ListBullet"/>
        <w:keepLines/>
        <w:widowControl/>
        <w:spacing w:after="60" w:line="245" w:lineRule="auto"/>
      </w:pPr>
      <w:r>
        <w:t>Nationwide digital-adoption and upskilling initiatives reaching more than 39,000 staff.</w:t>
      </w:r>
    </w:p>
    <w:p>
      <w:pPr>
        <w:pStyle w:val="ListBullet"/>
        <w:keepLines/>
        <w:widowControl/>
        <w:spacing w:after="60" w:line="245" w:lineRule="auto"/>
      </w:pPr>
      <w:r>
        <w:t>More than 150 digital projects, platforms, websites, and enterprise systems led or materially supported.</w:t>
      </w:r>
    </w:p>
    <w:p>
      <w:pPr>
        <w:pStyle w:val="ListBullet"/>
        <w:keepLines/>
        <w:widowControl/>
        <w:spacing w:after="60" w:line="245" w:lineRule="auto"/>
      </w:pPr>
      <w:r>
        <w:t>Direct delivery experience in Egypt and the Sultanate of Oman, with wider GCC stakeholder and enterprise exposure.</w:t>
      </w:r>
    </w:p>
    <w:p>
      <w:pPr>
        <w:widowControl/>
      </w:pPr>
      <w:r>
        <w:br w:type="page"/>
      </w:r>
    </w:p>
    <w:tbl>
      <w:tblPr>
        <w:tblW w:type="auto" w:w="0"/>
        <w:jc w:val="center"/>
        <w:tblLayout w:type="fixed"/>
        <w:tblLook w:firstColumn="1" w:firstRow="1" w:lastColumn="0" w:lastRow="0" w:noHBand="0" w:noVBand="1" w:val="04A0"/>
      </w:tblPr>
      <w:tblGrid>
        <w:gridCol w:w="864"/>
        <w:gridCol w:w="9144"/>
      </w:tblGrid>
      <w:tr>
        <w:tc>
          <w:tcPr>
            <w:tcW w:type="dxa" w:w="5018"/>
            <w:shd w:fill="C79A3B"/>
            <w:tcMar>
              <w:top w:w="120" w:type="dxa"/>
              <w:start w:w="140" w:type="dxa"/>
              <w:bottom w:w="120" w:type="dxa"/>
              <w:end w:w="140" w:type="dxa"/>
            </w:tcMar>
            <w:tcBorders>
              <w:top w:val="nil"/>
              <w:bottom w:val="nil"/>
              <w:left w:val="nil"/>
              <w:right w:val="nil"/>
            </w:tcBorders>
          </w:tcPr>
          <w:p>
            <w:pPr>
              <w:jc w:val="center"/>
            </w:pPr>
            <w:r>
              <w:rPr>
                <w:b/>
                <w:color w:val="0B1F33"/>
                <w:sz w:val="32"/>
              </w:rPr>
              <w:t>5</w:t>
            </w:r>
          </w:p>
        </w:tc>
        <w:tc>
          <w:tcPr>
            <w:tcW w:type="dxa" w:w="5018"/>
            <w:shd w:fill="0B1F33"/>
            <w:tcMar>
              <w:top w:w="120" w:type="dxa"/>
              <w:start w:w="140" w:type="dxa"/>
              <w:bottom w:w="120" w:type="dxa"/>
              <w:end w:w="140" w:type="dxa"/>
            </w:tcMar>
            <w:tcBorders>
              <w:top w:val="nil"/>
              <w:bottom w:val="nil"/>
              <w:left w:val="nil"/>
              <w:right w:val="nil"/>
            </w:tcBorders>
          </w:tcPr>
          <w:p>
            <w:pPr>
              <w:spacing w:after="0"/>
            </w:pPr>
            <w:r>
              <w:rPr>
                <w:b/>
                <w:color w:val="FFFFFF"/>
                <w:sz w:val="30"/>
              </w:rPr>
              <w:t>LEADERSHIP, GOVERNANCE, AND PROFESSIONAL ENGAGEMENT</w:t>
            </w:r>
          </w:p>
          <w:p>
            <w:pPr>
              <w:spacing w:before="40" w:after="0"/>
            </w:pPr>
            <w:r>
              <w:rPr>
                <w:color w:val="D9E7F5"/>
                <w:sz w:val="17"/>
              </w:rPr>
              <w:t>Appointments, national programme roles, speaking, and cross-institutional contribution</w:t>
            </w:r>
          </w:p>
        </w:tc>
      </w:tr>
    </w:tbl>
    <w:p>
      <w:pPr>
        <w:widowControl/>
        <w:spacing w:after="0"/>
      </w:pPr>
    </w:p>
    <w:tbl>
      <w:tblPr>
        <w:tblW w:type="auto" w:w="0"/>
        <w:jc w:val="center"/>
        <w:tblLook w:firstColumn="1" w:firstRow="1" w:lastColumn="0" w:lastRow="0" w:noHBand="0" w:noVBand="1" w:val="04A0"/>
      </w:tblPr>
      <w:tblGrid>
        <w:gridCol w:w="10037"/>
      </w:tblGrid>
      <w:tr>
        <w:tc>
          <w:tcPr>
            <w:tcW w:type="dxa" w:w="10037"/>
            <w:shd w:fill="F4F6F8"/>
            <w:tcMar>
              <w:top w:w="105" w:type="dxa"/>
              <w:start w:w="140" w:type="dxa"/>
              <w:bottom w:w="105" w:type="dxa"/>
              <w:end w:w="140" w:type="dxa"/>
            </w:tcMar>
            <w:tcBorders>
              <w:top w:val="single" w:sz="6" w:color="0F766E"/>
              <w:bottom w:val="single" w:sz="4" w:color="D6DEE7"/>
              <w:left w:val="single" w:sz="4" w:color="D6DEE7"/>
              <w:right w:val="single" w:sz="4" w:color="D6DEE7"/>
            </w:tcBorders>
          </w:tcPr>
          <w:p>
            <w:pPr>
              <w:spacing w:after="20"/>
            </w:pPr>
            <w:r>
              <w:rPr>
                <w:b/>
                <w:color w:val="0B1F33"/>
                <w:sz w:val="20"/>
              </w:rPr>
              <w:t>Digital Transformation Committee Member</w:t>
            </w:r>
          </w:p>
          <w:p>
            <w:pPr>
              <w:spacing w:after="40"/>
            </w:pPr>
            <w:r>
              <w:rPr>
                <w:i/>
                <w:color w:val="0F766E"/>
                <w:sz w:val="16"/>
              </w:rPr>
              <w:t>World Bank Group Business Ready (B-READY) Egypt Assessment | 2025-2026</w:t>
            </w:r>
          </w:p>
          <w:p>
            <w:pPr>
              <w:spacing w:after="0"/>
            </w:pPr>
            <w:r>
              <w:rPr>
                <w:sz w:val="17"/>
              </w:rPr>
              <w:t>Contributed technical input supporting private-sector digitisation, public-service modernisation, and national competitiveness.</w:t>
            </w:r>
          </w:p>
        </w:tc>
      </w:tr>
    </w:tbl>
    <w:p>
      <w:pPr>
        <w:widowControl/>
        <w:spacing w:after="0"/>
      </w:pPr>
    </w:p>
    <w:tbl>
      <w:tblPr>
        <w:tblW w:type="auto" w:w="0"/>
        <w:jc w:val="center"/>
        <w:tblLook w:firstColumn="1" w:firstRow="1" w:lastColumn="0" w:lastRow="0" w:noHBand="0" w:noVBand="1" w:val="04A0"/>
      </w:tblPr>
      <w:tblGrid>
        <w:gridCol w:w="10037"/>
      </w:tblGrid>
      <w:tr>
        <w:tc>
          <w:tcPr>
            <w:tcW w:type="dxa" w:w="10037"/>
            <w:shd w:fill="F4F6F8"/>
            <w:tcMar>
              <w:top w:w="105" w:type="dxa"/>
              <w:start w:w="140" w:type="dxa"/>
              <w:bottom w:w="105" w:type="dxa"/>
              <w:end w:w="140" w:type="dxa"/>
            </w:tcMar>
            <w:tcBorders>
              <w:top w:val="single" w:sz="6" w:color="0F766E"/>
              <w:bottom w:val="single" w:sz="4" w:color="D6DEE7"/>
              <w:left w:val="single" w:sz="4" w:color="D6DEE7"/>
              <w:right w:val="single" w:sz="4" w:color="D6DEE7"/>
            </w:tcBorders>
          </w:tcPr>
          <w:p>
            <w:pPr>
              <w:spacing w:after="20"/>
            </w:pPr>
            <w:r>
              <w:rPr>
                <w:b/>
                <w:color w:val="0B1F33"/>
                <w:sz w:val="20"/>
              </w:rPr>
              <w:t>Board Member - National Blood Operations Oversight</w:t>
            </w:r>
          </w:p>
          <w:p>
            <w:pPr>
              <w:spacing w:after="40"/>
            </w:pPr>
            <w:r>
              <w:rPr>
                <w:i/>
                <w:color w:val="0F766E"/>
                <w:sz w:val="16"/>
              </w:rPr>
              <w:t>Appointed by Egypt's Minister of Health | 2021-2024</w:t>
            </w:r>
          </w:p>
          <w:p>
            <w:pPr>
              <w:spacing w:after="0"/>
            </w:pPr>
            <w:r>
              <w:rPr>
                <w:sz w:val="17"/>
              </w:rPr>
              <w:t>Oversaw digital governance, data integrity, and technology standards for the national blood-supply management environment.</w:t>
            </w:r>
          </w:p>
        </w:tc>
      </w:tr>
    </w:tbl>
    <w:p>
      <w:pPr>
        <w:widowControl/>
        <w:spacing w:after="0"/>
      </w:pPr>
    </w:p>
    <w:tbl>
      <w:tblPr>
        <w:tblW w:type="auto" w:w="0"/>
        <w:jc w:val="center"/>
        <w:tblLook w:firstColumn="1" w:firstRow="1" w:lastColumn="0" w:lastRow="0" w:noHBand="0" w:noVBand="1" w:val="04A0"/>
      </w:tblPr>
      <w:tblGrid>
        <w:gridCol w:w="10037"/>
      </w:tblGrid>
      <w:tr>
        <w:tc>
          <w:tcPr>
            <w:tcW w:type="dxa" w:w="10037"/>
            <w:shd w:fill="F4F6F8"/>
            <w:tcMar>
              <w:top w:w="105" w:type="dxa"/>
              <w:start w:w="140" w:type="dxa"/>
              <w:bottom w:w="105" w:type="dxa"/>
              <w:end w:w="140" w:type="dxa"/>
            </w:tcMar>
            <w:tcBorders>
              <w:top w:val="single" w:sz="6" w:color="0F766E"/>
              <w:bottom w:val="single" w:sz="4" w:color="D6DEE7"/>
              <w:left w:val="single" w:sz="4" w:color="D6DEE7"/>
              <w:right w:val="single" w:sz="4" w:color="D6DEE7"/>
            </w:tcBorders>
          </w:tcPr>
          <w:p>
            <w:pPr>
              <w:spacing w:after="20"/>
            </w:pPr>
            <w:r>
              <w:rPr>
                <w:b/>
                <w:color w:val="0B1F33"/>
                <w:sz w:val="20"/>
              </w:rPr>
              <w:t>Governance Lead - National Pharmaceutical Track and Trace Programme</w:t>
            </w:r>
          </w:p>
          <w:p>
            <w:pPr>
              <w:spacing w:after="40"/>
            </w:pPr>
            <w:r>
              <w:rPr>
                <w:i/>
                <w:color w:val="0F766E"/>
                <w:sz w:val="16"/>
              </w:rPr>
              <w:t>UPA / Egyptian Drug Authority / Ministry of Health | 2021-2024</w:t>
            </w:r>
          </w:p>
          <w:p>
            <w:pPr>
              <w:spacing w:after="0"/>
            </w:pPr>
            <w:r>
              <w:rPr>
                <w:sz w:val="17"/>
              </w:rPr>
              <w:t>Shaped programme vision, governance, compliance, cross-agency coordination, and technology roadmap.</w:t>
            </w:r>
          </w:p>
        </w:tc>
      </w:tr>
    </w:tbl>
    <w:p>
      <w:pPr>
        <w:widowControl/>
        <w:spacing w:after="0"/>
      </w:pPr>
    </w:p>
    <w:tbl>
      <w:tblPr>
        <w:tblW w:type="auto" w:w="0"/>
        <w:jc w:val="center"/>
        <w:tblLook w:firstColumn="1" w:firstRow="1" w:lastColumn="0" w:lastRow="0" w:noHBand="0" w:noVBand="1" w:val="04A0"/>
      </w:tblPr>
      <w:tblGrid>
        <w:gridCol w:w="10037"/>
      </w:tblGrid>
      <w:tr>
        <w:tc>
          <w:tcPr>
            <w:tcW w:type="dxa" w:w="10037"/>
            <w:shd w:fill="F4F6F8"/>
            <w:tcMar>
              <w:top w:w="105" w:type="dxa"/>
              <w:start w:w="140" w:type="dxa"/>
              <w:bottom w:w="105" w:type="dxa"/>
              <w:end w:w="140" w:type="dxa"/>
            </w:tcMar>
            <w:tcBorders>
              <w:top w:val="single" w:sz="6" w:color="0F766E"/>
              <w:bottom w:val="single" w:sz="4" w:color="D6DEE7"/>
              <w:left w:val="single" w:sz="4" w:color="D6DEE7"/>
              <w:right w:val="single" w:sz="4" w:color="D6DEE7"/>
            </w:tcBorders>
          </w:tcPr>
          <w:p>
            <w:pPr>
              <w:spacing w:after="20"/>
            </w:pPr>
            <w:r>
              <w:rPr>
                <w:b/>
                <w:color w:val="0B1F33"/>
                <w:sz w:val="20"/>
              </w:rPr>
              <w:t>International Speaker - Bioinformatics and Digital Health</w:t>
            </w:r>
          </w:p>
          <w:p>
            <w:pPr>
              <w:spacing w:after="40"/>
            </w:pPr>
            <w:r>
              <w:rPr>
                <w:i/>
                <w:color w:val="0F766E"/>
                <w:sz w:val="16"/>
              </w:rPr>
              <w:t>Manama Health Congress and Expo, Bahrain | 2022</w:t>
            </w:r>
          </w:p>
          <w:p>
            <w:pPr>
              <w:spacing w:after="0"/>
            </w:pPr>
            <w:r>
              <w:rPr>
                <w:sz w:val="17"/>
              </w:rPr>
              <w:t>Delivered an international lecture to senior policymakers, health leaders, and technology executives.</w:t>
            </w:r>
          </w:p>
        </w:tc>
      </w:tr>
    </w:tbl>
    <w:p>
      <w:pPr>
        <w:widowControl/>
        <w:spacing w:after="0"/>
      </w:pPr>
    </w:p>
    <w:tbl>
      <w:tblPr>
        <w:tblW w:type="auto" w:w="0"/>
        <w:jc w:val="center"/>
        <w:tblLook w:firstColumn="1" w:firstRow="1" w:lastColumn="0" w:lastRow="0" w:noHBand="0" w:noVBand="1" w:val="04A0"/>
      </w:tblPr>
      <w:tblGrid>
        <w:gridCol w:w="10037"/>
      </w:tblGrid>
      <w:tr>
        <w:tc>
          <w:tcPr>
            <w:tcW w:type="dxa" w:w="10037"/>
            <w:shd w:fill="F4F6F8"/>
            <w:tcMar>
              <w:top w:w="105" w:type="dxa"/>
              <w:start w:w="140" w:type="dxa"/>
              <w:bottom w:w="105" w:type="dxa"/>
              <w:end w:w="140" w:type="dxa"/>
            </w:tcMar>
            <w:tcBorders>
              <w:top w:val="single" w:sz="6" w:color="0F766E"/>
              <w:bottom w:val="single" w:sz="4" w:color="D6DEE7"/>
              <w:left w:val="single" w:sz="4" w:color="D6DEE7"/>
              <w:right w:val="single" w:sz="4" w:color="D6DEE7"/>
            </w:tcBorders>
          </w:tcPr>
          <w:p>
            <w:pPr>
              <w:spacing w:after="20"/>
            </w:pPr>
            <w:r>
              <w:rPr>
                <w:b/>
                <w:color w:val="0B1F33"/>
                <w:sz w:val="20"/>
              </w:rPr>
              <w:t>Digital Health and Technology Contributor</w:t>
            </w:r>
          </w:p>
          <w:p>
            <w:pPr>
              <w:spacing w:after="40"/>
            </w:pPr>
            <w:r>
              <w:rPr>
                <w:i/>
                <w:color w:val="0F766E"/>
                <w:sz w:val="16"/>
              </w:rPr>
              <w:t>Africa Health ExCon, Cairo | 2021-Present</w:t>
            </w:r>
          </w:p>
          <w:p>
            <w:pPr>
              <w:spacing w:after="0"/>
            </w:pPr>
            <w:r>
              <w:rPr>
                <w:sz w:val="17"/>
              </w:rPr>
              <w:t>Contributed to strategic programming, digital-health content, technical tracks, and sector collaboration.</w:t>
            </w:r>
          </w:p>
        </w:tc>
      </w:tr>
    </w:tbl>
    <w:p>
      <w:pPr>
        <w:widowControl/>
        <w:spacing w:after="0"/>
      </w:pPr>
    </w:p>
    <w:p>
      <w:pPr>
        <w:keepNext/>
        <w:widowControl/>
        <w:spacing w:before="120" w:after="80"/>
      </w:pPr>
      <w:r>
        <w:rPr>
          <w:rFonts w:ascii="Aptos Display" w:hAnsi="Aptos Display"/>
          <w:b/>
          <w:color w:val="0F766E"/>
          <w:sz w:val="25"/>
        </w:rPr>
        <w:t>Leadership approach</w:t>
      </w:r>
    </w:p>
    <w:tbl>
      <w:tblPr>
        <w:tblW w:type="auto" w:w="0"/>
        <w:jc w:val="center"/>
        <w:tblLayout w:type="fixed"/>
        <w:tblLook w:firstColumn="1" w:firstRow="1" w:lastColumn="0" w:lastRow="0" w:noHBand="0" w:noVBand="1" w:val="04A0"/>
      </w:tblPr>
      <w:tblGrid>
        <w:gridCol w:w="4896"/>
        <w:gridCol w:w="4896"/>
      </w:tblGrid>
      <w:tr>
        <w:tc>
          <w:tcPr>
            <w:tcW w:type="dxa" w:w="4896"/>
            <w:tcMar>
              <w:top w:w="130" w:type="dxa"/>
              <w:start w:w="150" w:type="dxa"/>
              <w:bottom w:w="130" w:type="dxa"/>
              <w:end w:w="150" w:type="dxa"/>
            </w:tcMar>
            <w:shd w:fill="F4F6F8"/>
            <w:tcBorders>
              <w:top w:val="single" w:sz="5" w:color="D6DEE7"/>
              <w:bottom w:val="single" w:sz="5" w:color="D6DEE7"/>
              <w:left w:val="single" w:sz="5" w:color="D6DEE7"/>
              <w:right w:val="single" w:sz="5" w:color="D6DEE7"/>
            </w:tcBorders>
          </w:tcPr>
          <w:p>
            <w:pPr>
              <w:spacing w:after="80"/>
            </w:pPr>
            <w:r>
              <w:rPr>
                <w:b/>
                <w:color w:val="0B1F33"/>
                <w:sz w:val="21"/>
              </w:rPr>
              <w:t>Executive alignment</w:t>
            </w:r>
          </w:p>
          <w:p>
            <w:pPr>
              <w:spacing w:after="0" w:line="247" w:lineRule="auto"/>
            </w:pPr>
            <w:r>
              <w:rPr>
                <w:sz w:val="17"/>
              </w:rPr>
              <w:t>Translates institutional priorities into technology roadmaps, portfolio decisions, architecture standards, and delivery governance.</w:t>
            </w:r>
          </w:p>
        </w:tc>
        <w:tc>
          <w:tcPr>
            <w:tcW w:type="dxa" w:w="4896"/>
            <w:tcMar>
              <w:top w:w="130" w:type="dxa"/>
              <w:start w:w="150" w:type="dxa"/>
              <w:bottom w:w="130" w:type="dxa"/>
              <w:end w:w="150" w:type="dxa"/>
            </w:tcMar>
            <w:shd w:fill="EAF7F5"/>
            <w:tcBorders>
              <w:top w:val="single" w:sz="5" w:color="D6DEE7"/>
              <w:bottom w:val="single" w:sz="5" w:color="D6DEE7"/>
              <w:left w:val="single" w:sz="5" w:color="D6DEE7"/>
              <w:right w:val="single" w:sz="5" w:color="D6DEE7"/>
            </w:tcBorders>
          </w:tcPr>
          <w:p>
            <w:pPr>
              <w:spacing w:after="80"/>
            </w:pPr>
            <w:r>
              <w:rPr>
                <w:b/>
                <w:color w:val="0B1F33"/>
                <w:sz w:val="21"/>
              </w:rPr>
              <w:t>Multidisciplinary teams</w:t>
            </w:r>
          </w:p>
          <w:p>
            <w:pPr>
              <w:spacing w:after="0" w:line="247" w:lineRule="auto"/>
            </w:pPr>
            <w:r>
              <w:rPr>
                <w:sz w:val="17"/>
              </w:rPr>
              <w:t>Builds and leads teams of developers, analysts, architects, support professionals, vendors, and implementation partners.</w:t>
            </w:r>
          </w:p>
        </w:tc>
      </w:tr>
      <w:tr>
        <w:tc>
          <w:tcPr>
            <w:tcW w:type="dxa" w:w="4896"/>
            <w:tcMar>
              <w:top w:w="130" w:type="dxa"/>
              <w:start w:w="150" w:type="dxa"/>
              <w:bottom w:w="130" w:type="dxa"/>
              <w:end w:w="150" w:type="dxa"/>
            </w:tcMar>
            <w:shd w:fill="F4F6F8"/>
            <w:tcBorders>
              <w:top w:val="single" w:sz="5" w:color="D6DEE7"/>
              <w:bottom w:val="single" w:sz="5" w:color="D6DEE7"/>
              <w:left w:val="single" w:sz="5" w:color="D6DEE7"/>
              <w:right w:val="single" w:sz="5" w:color="D6DEE7"/>
            </w:tcBorders>
          </w:tcPr>
          <w:p>
            <w:pPr>
              <w:spacing w:after="80"/>
            </w:pPr>
            <w:r>
              <w:rPr>
                <w:b/>
                <w:color w:val="0B1F33"/>
                <w:sz w:val="21"/>
              </w:rPr>
              <w:t>Quality and accountability</w:t>
            </w:r>
          </w:p>
          <w:p>
            <w:pPr>
              <w:spacing w:after="0" w:line="247" w:lineRule="auto"/>
            </w:pPr>
            <w:r>
              <w:rPr>
                <w:sz w:val="17"/>
              </w:rPr>
              <w:t>Establishes QA, code review, release governance, documentation, security, access control, auditability, backup, and service standards.</w:t>
            </w:r>
          </w:p>
        </w:tc>
        <w:tc>
          <w:tcPr>
            <w:tcW w:type="dxa" w:w="4896"/>
            <w:tcMar>
              <w:top w:w="130" w:type="dxa"/>
              <w:start w:w="150" w:type="dxa"/>
              <w:bottom w:w="130" w:type="dxa"/>
              <w:end w:w="150" w:type="dxa"/>
            </w:tcMar>
            <w:shd w:fill="EAF7F5"/>
            <w:tcBorders>
              <w:top w:val="single" w:sz="5" w:color="D6DEE7"/>
              <w:bottom w:val="single" w:sz="5" w:color="D6DEE7"/>
              <w:left w:val="single" w:sz="5" w:color="D6DEE7"/>
              <w:right w:val="single" w:sz="5" w:color="D6DEE7"/>
            </w:tcBorders>
          </w:tcPr>
          <w:p>
            <w:pPr>
              <w:spacing w:after="80"/>
            </w:pPr>
            <w:r>
              <w:rPr>
                <w:b/>
                <w:color w:val="0B1F33"/>
                <w:sz w:val="21"/>
              </w:rPr>
              <w:t>Stakeholder communication</w:t>
            </w:r>
          </w:p>
          <w:p>
            <w:pPr>
              <w:spacing w:after="0" w:line="247" w:lineRule="auto"/>
            </w:pPr>
            <w:r>
              <w:rPr>
                <w:sz w:val="17"/>
              </w:rPr>
              <w:t>Communicates effectively with ministers, senior executives, public authorities, operational teams, technical specialists, vendors, and users.</w:t>
            </w:r>
          </w:p>
        </w:tc>
      </w:tr>
    </w:tbl>
    <w:p>
      <w:pPr>
        <w:widowControl/>
      </w:pPr>
      <w:r>
        <w:br w:type="page"/>
      </w:r>
    </w:p>
    <w:tbl>
      <w:tblPr>
        <w:tblW w:type="auto" w:w="0"/>
        <w:jc w:val="center"/>
        <w:tblLayout w:type="fixed"/>
        <w:tblLook w:firstColumn="1" w:firstRow="1" w:lastColumn="0" w:lastRow="0" w:noHBand="0" w:noVBand="1" w:val="04A0"/>
      </w:tblPr>
      <w:tblGrid>
        <w:gridCol w:w="864"/>
        <w:gridCol w:w="9144"/>
      </w:tblGrid>
      <w:tr>
        <w:tc>
          <w:tcPr>
            <w:tcW w:type="dxa" w:w="5018"/>
            <w:shd w:fill="C79A3B"/>
            <w:tcMar>
              <w:top w:w="120" w:type="dxa"/>
              <w:start w:w="140" w:type="dxa"/>
              <w:bottom w:w="120" w:type="dxa"/>
              <w:end w:w="140" w:type="dxa"/>
            </w:tcMar>
            <w:tcBorders>
              <w:top w:val="nil"/>
              <w:bottom w:val="nil"/>
              <w:left w:val="nil"/>
              <w:right w:val="nil"/>
            </w:tcBorders>
          </w:tcPr>
          <w:p>
            <w:pPr>
              <w:jc w:val="center"/>
            </w:pPr>
            <w:r>
              <w:rPr>
                <w:b/>
                <w:color w:val="0B1F33"/>
                <w:sz w:val="32"/>
              </w:rPr>
              <w:t>6</w:t>
            </w:r>
          </w:p>
        </w:tc>
        <w:tc>
          <w:tcPr>
            <w:tcW w:type="dxa" w:w="5018"/>
            <w:shd w:fill="0B1F33"/>
            <w:tcMar>
              <w:top w:w="120" w:type="dxa"/>
              <w:start w:w="140" w:type="dxa"/>
              <w:bottom w:w="120" w:type="dxa"/>
              <w:end w:w="140" w:type="dxa"/>
            </w:tcMar>
            <w:tcBorders>
              <w:top w:val="nil"/>
              <w:bottom w:val="nil"/>
              <w:left w:val="nil"/>
              <w:right w:val="nil"/>
            </w:tcBorders>
          </w:tcPr>
          <w:p>
            <w:pPr>
              <w:spacing w:after="0"/>
            </w:pPr>
            <w:r>
              <w:rPr>
                <w:b/>
                <w:color w:val="FFFFFF"/>
                <w:sz w:val="30"/>
              </w:rPr>
              <w:t>SELECTED PROFESSIONAL OUTPUTS AND WRITING FORMATS</w:t>
            </w:r>
          </w:p>
          <w:p>
            <w:pPr>
              <w:spacing w:before="40" w:after="0"/>
            </w:pPr>
            <w:r>
              <w:rPr>
                <w:color w:val="D9E7F5"/>
                <w:sz w:val="17"/>
              </w:rPr>
              <w:t>A practical portfolio of executive, analytical, architectural, technical, and operational documentation</w:t>
            </w:r>
          </w:p>
        </w:tc>
      </w:tr>
    </w:tbl>
    <w:p>
      <w:pPr>
        <w:widowControl/>
        <w:spacing w:after="0"/>
      </w:pPr>
    </w:p>
    <w:tbl>
      <w:tblPr>
        <w:tblW w:type="auto" w:w="0"/>
        <w:jc w:val="center"/>
        <w:tblLayout w:type="fixed"/>
        <w:tblLook w:firstColumn="1" w:firstRow="1" w:lastColumn="0" w:lastRow="0" w:noHBand="0" w:noVBand="1" w:val="04A0"/>
      </w:tblPr>
      <w:tblGrid>
        <w:gridCol w:w="173"/>
        <w:gridCol w:w="9835"/>
      </w:tblGrid>
      <w:tr>
        <w:tc>
          <w:tcPr>
            <w:tcW w:type="dxa" w:w="5018"/>
            <w:shd w:fill="C79A3B"/>
            <w:tcMar>
              <w:top w:w="0" w:type="dxa"/>
              <w:start w:w="0" w:type="dxa"/>
              <w:bottom w:w="0" w:type="dxa"/>
              <w:end w:w="0" w:type="dxa"/>
            </w:tcMar>
            <w:tcBorders>
              <w:top w:val="single" w:sz="4" w:color="D6DEE7"/>
              <w:bottom w:val="single" w:sz="4" w:color="D6DEE7"/>
              <w:left w:val="single" w:sz="4" w:color="D6DEE7"/>
              <w:right w:val="single" w:sz="4" w:color="D6DEE7"/>
            </w:tcBorders>
          </w:tcPr>
          <w:p/>
        </w:tc>
        <w:tc>
          <w:tcPr>
            <w:tcW w:type="dxa" w:w="5018"/>
            <w:shd w:fill="F7EFD9"/>
            <w:tcMar>
              <w:top w:w="130" w:type="dxa"/>
              <w:start w:w="160" w:type="dxa"/>
              <w:bottom w:w="130" w:type="dxa"/>
              <w:end w:w="160" w:type="dxa"/>
            </w:tcMar>
            <w:tcBorders>
              <w:top w:val="single" w:sz="4" w:color="D6DEE7"/>
              <w:bottom w:val="single" w:sz="4" w:color="D6DEE7"/>
              <w:left w:val="single" w:sz="4" w:color="D6DEE7"/>
              <w:right w:val="single" w:sz="4" w:color="D6DEE7"/>
            </w:tcBorders>
          </w:tcPr>
          <w:p>
            <w:pPr>
              <w:spacing w:after="60"/>
            </w:pPr>
            <w:r>
              <w:rPr>
                <w:b/>
                <w:color w:val="C79A3B"/>
                <w:sz w:val="21"/>
              </w:rPr>
              <w:t>Publication note</w:t>
            </w:r>
          </w:p>
          <w:p>
            <w:pPr>
              <w:spacing w:after="0" w:line="250" w:lineRule="auto"/>
            </w:pPr>
            <w:r>
              <w:rPr>
                <w:sz w:val="18"/>
              </w:rPr>
              <w:t>The items below are professional knowledge products and portfolio outputs. They should not be interpreted as peer-reviewed academic publications unless explicitly identified as such. Many were produced collaboratively or within institutional programmes; the descriptions reflect Mahmoud Salama's leadership, authorship, architecture, drafting, review, or delivery contribution.</w:t>
            </w:r>
          </w:p>
        </w:tc>
      </w:tr>
    </w:tbl>
    <w:tbl>
      <w:tblPr>
        <w:tblW w:type="auto" w:w="0"/>
        <w:jc w:val="center"/>
        <w:tblLayout w:type="fixed"/>
        <w:tblLook w:firstColumn="1" w:firstRow="1" w:lastColumn="0" w:lastRow="0" w:noHBand="0" w:noVBand="1" w:val="04A0"/>
      </w:tblPr>
      <w:tblGrid>
        <w:gridCol w:w="4896"/>
        <w:gridCol w:w="4896"/>
      </w:tblGrid>
      <w:tr>
        <w:tc>
          <w:tcPr>
            <w:tcW w:type="dxa" w:w="4896"/>
            <w:tcMar>
              <w:top w:w="130" w:type="dxa"/>
              <w:start w:w="150" w:type="dxa"/>
              <w:bottom w:w="130" w:type="dxa"/>
              <w:end w:w="150" w:type="dxa"/>
            </w:tcMar>
            <w:shd w:fill="F4F6F8"/>
            <w:tcBorders>
              <w:top w:val="single" w:sz="5" w:color="D6DEE7"/>
              <w:bottom w:val="single" w:sz="5" w:color="D6DEE7"/>
              <w:left w:val="single" w:sz="5" w:color="D6DEE7"/>
              <w:right w:val="single" w:sz="5" w:color="D6DEE7"/>
            </w:tcBorders>
          </w:tcPr>
          <w:p>
            <w:pPr>
              <w:spacing w:after="80"/>
            </w:pPr>
            <w:r>
              <w:rPr>
                <w:b/>
                <w:color w:val="0B1F33"/>
                <w:sz w:val="21"/>
              </w:rPr>
              <w:t>Executive transformation case studies</w:t>
            </w:r>
          </w:p>
          <w:p>
            <w:pPr>
              <w:spacing w:after="0" w:line="247" w:lineRule="auto"/>
            </w:pPr>
            <w:r>
              <w:rPr>
                <w:sz w:val="17"/>
              </w:rPr>
              <w:t>Publication-safe narratives explaining the institutional problem, transformation approach, governance model, architecture, implementation, impact, and lessons learned.</w:t>
            </w:r>
          </w:p>
        </w:tc>
        <w:tc>
          <w:tcPr>
            <w:tcW w:type="dxa" w:w="4896"/>
            <w:tcMar>
              <w:top w:w="130" w:type="dxa"/>
              <w:start w:w="150" w:type="dxa"/>
              <w:bottom w:w="130" w:type="dxa"/>
              <w:end w:w="150" w:type="dxa"/>
            </w:tcMar>
            <w:shd w:fill="EAF7F5"/>
            <w:tcBorders>
              <w:top w:val="single" w:sz="5" w:color="D6DEE7"/>
              <w:bottom w:val="single" w:sz="5" w:color="D6DEE7"/>
              <w:left w:val="single" w:sz="5" w:color="D6DEE7"/>
              <w:right w:val="single" w:sz="5" w:color="D6DEE7"/>
            </w:tcBorders>
          </w:tcPr>
          <w:p>
            <w:pPr>
              <w:spacing w:after="80"/>
            </w:pPr>
            <w:r>
              <w:rPr>
                <w:b/>
                <w:color w:val="0B1F33"/>
                <w:sz w:val="21"/>
              </w:rPr>
              <w:t>Technology strategies and roadmaps</w:t>
            </w:r>
          </w:p>
          <w:p>
            <w:pPr>
              <w:spacing w:after="0" w:line="247" w:lineRule="auto"/>
            </w:pPr>
            <w:r>
              <w:rPr>
                <w:sz w:val="17"/>
              </w:rPr>
              <w:t>Priorities, target capabilities, investment sequencing, operating dependencies, governance, risks, and benefits.</w:t>
            </w:r>
          </w:p>
        </w:tc>
      </w:tr>
      <w:tr>
        <w:tc>
          <w:tcPr>
            <w:tcW w:type="dxa" w:w="4896"/>
            <w:tcMar>
              <w:top w:w="130" w:type="dxa"/>
              <w:start w:w="150" w:type="dxa"/>
              <w:bottom w:w="130" w:type="dxa"/>
              <w:end w:w="150" w:type="dxa"/>
            </w:tcMar>
            <w:shd w:fill="F4F6F8"/>
            <w:tcBorders>
              <w:top w:val="single" w:sz="5" w:color="D6DEE7"/>
              <w:bottom w:val="single" w:sz="5" w:color="D6DEE7"/>
              <w:left w:val="single" w:sz="5" w:color="D6DEE7"/>
              <w:right w:val="single" w:sz="5" w:color="D6DEE7"/>
            </w:tcBorders>
          </w:tcPr>
          <w:p>
            <w:pPr>
              <w:spacing w:after="80"/>
            </w:pPr>
            <w:r>
              <w:rPr>
                <w:b/>
                <w:color w:val="0B1F33"/>
                <w:sz w:val="21"/>
              </w:rPr>
              <w:t>Enterprise and solution architecture documents</w:t>
            </w:r>
          </w:p>
          <w:p>
            <w:pPr>
              <w:spacing w:after="0" w:line="247" w:lineRule="auto"/>
            </w:pPr>
            <w:r>
              <w:rPr>
                <w:sz w:val="17"/>
              </w:rPr>
              <w:t>Capability views, application landscapes, integration patterns, data flows, security layers, deployment models, and transition states.</w:t>
            </w:r>
          </w:p>
        </w:tc>
        <w:tc>
          <w:tcPr>
            <w:tcW w:type="dxa" w:w="4896"/>
            <w:tcMar>
              <w:top w:w="130" w:type="dxa"/>
              <w:start w:w="150" w:type="dxa"/>
              <w:bottom w:w="130" w:type="dxa"/>
              <w:end w:w="150" w:type="dxa"/>
            </w:tcMar>
            <w:shd w:fill="EAF7F5"/>
            <w:tcBorders>
              <w:top w:val="single" w:sz="5" w:color="D6DEE7"/>
              <w:bottom w:val="single" w:sz="5" w:color="D6DEE7"/>
              <w:left w:val="single" w:sz="5" w:color="D6DEE7"/>
              <w:right w:val="single" w:sz="5" w:color="D6DEE7"/>
            </w:tcBorders>
          </w:tcPr>
          <w:p>
            <w:pPr>
              <w:spacing w:after="80"/>
            </w:pPr>
            <w:r>
              <w:rPr>
                <w:b/>
                <w:color w:val="0B1F33"/>
                <w:sz w:val="21"/>
              </w:rPr>
              <w:t>Business and functional requirements</w:t>
            </w:r>
          </w:p>
          <w:p>
            <w:pPr>
              <w:spacing w:after="0" w:line="247" w:lineRule="auto"/>
            </w:pPr>
            <w:r>
              <w:rPr>
                <w:sz w:val="17"/>
              </w:rPr>
              <w:t>Stakeholder needs, process models, user journeys, acceptance criteria, controls, traceability, and prioritisation.</w:t>
            </w:r>
          </w:p>
        </w:tc>
      </w:tr>
      <w:tr>
        <w:tc>
          <w:tcPr>
            <w:tcW w:type="dxa" w:w="4896"/>
            <w:tcMar>
              <w:top w:w="130" w:type="dxa"/>
              <w:start w:w="150" w:type="dxa"/>
              <w:bottom w:w="130" w:type="dxa"/>
              <w:end w:w="150" w:type="dxa"/>
            </w:tcMar>
            <w:shd w:fill="F4F6F8"/>
            <w:tcBorders>
              <w:top w:val="single" w:sz="5" w:color="D6DEE7"/>
              <w:bottom w:val="single" w:sz="5" w:color="D6DEE7"/>
              <w:left w:val="single" w:sz="5" w:color="D6DEE7"/>
              <w:right w:val="single" w:sz="5" w:color="D6DEE7"/>
            </w:tcBorders>
          </w:tcPr>
          <w:p>
            <w:pPr>
              <w:spacing w:after="80"/>
            </w:pPr>
            <w:r>
              <w:rPr>
                <w:b/>
                <w:color w:val="0B1F33"/>
                <w:sz w:val="21"/>
              </w:rPr>
              <w:t>Integration and API specifications</w:t>
            </w:r>
          </w:p>
          <w:p>
            <w:pPr>
              <w:spacing w:after="0" w:line="247" w:lineRule="auto"/>
            </w:pPr>
            <w:r>
              <w:rPr>
                <w:sz w:val="17"/>
              </w:rPr>
              <w:t>Interfaces, data mapping, validation, reconciliation, exceptions, monitoring, security, and audit requirements.</w:t>
            </w:r>
          </w:p>
        </w:tc>
        <w:tc>
          <w:tcPr>
            <w:tcW w:type="dxa" w:w="4896"/>
            <w:tcMar>
              <w:top w:w="130" w:type="dxa"/>
              <w:start w:w="150" w:type="dxa"/>
              <w:bottom w:w="130" w:type="dxa"/>
              <w:end w:w="150" w:type="dxa"/>
            </w:tcMar>
            <w:shd w:fill="EAF7F5"/>
            <w:tcBorders>
              <w:top w:val="single" w:sz="5" w:color="D6DEE7"/>
              <w:bottom w:val="single" w:sz="5" w:color="D6DEE7"/>
              <w:left w:val="single" w:sz="5" w:color="D6DEE7"/>
              <w:right w:val="single" w:sz="5" w:color="D6DEE7"/>
            </w:tcBorders>
          </w:tcPr>
          <w:p>
            <w:pPr>
              <w:spacing w:after="80"/>
            </w:pPr>
            <w:r>
              <w:rPr>
                <w:b/>
                <w:color w:val="0B1F33"/>
                <w:sz w:val="21"/>
              </w:rPr>
              <w:t>Data governance and analytics materials</w:t>
            </w:r>
          </w:p>
          <w:p>
            <w:pPr>
              <w:spacing w:after="0" w:line="247" w:lineRule="auto"/>
            </w:pPr>
            <w:r>
              <w:rPr>
                <w:sz w:val="17"/>
              </w:rPr>
              <w:t>Master data, data-quality rules, ownership, reporting definitions, KPI frameworks, dashboards, and decision notes.</w:t>
            </w:r>
          </w:p>
        </w:tc>
      </w:tr>
      <w:tr>
        <w:tc>
          <w:tcPr>
            <w:tcW w:type="dxa" w:w="4896"/>
            <w:tcMar>
              <w:top w:w="130" w:type="dxa"/>
              <w:start w:w="150" w:type="dxa"/>
              <w:bottom w:w="130" w:type="dxa"/>
              <w:end w:w="150" w:type="dxa"/>
            </w:tcMar>
            <w:shd w:fill="F4F6F8"/>
            <w:tcBorders>
              <w:top w:val="single" w:sz="5" w:color="D6DEE7"/>
              <w:bottom w:val="single" w:sz="5" w:color="D6DEE7"/>
              <w:left w:val="single" w:sz="5" w:color="D6DEE7"/>
              <w:right w:val="single" w:sz="5" w:color="D6DEE7"/>
            </w:tcBorders>
          </w:tcPr>
          <w:p>
            <w:pPr>
              <w:spacing w:after="80"/>
            </w:pPr>
            <w:r>
              <w:rPr>
                <w:b/>
                <w:color w:val="0B1F33"/>
                <w:sz w:val="21"/>
              </w:rPr>
              <w:t>Governance and operating procedures</w:t>
            </w:r>
          </w:p>
          <w:p>
            <w:pPr>
              <w:spacing w:after="0" w:line="247" w:lineRule="auto"/>
            </w:pPr>
            <w:r>
              <w:rPr>
                <w:sz w:val="17"/>
              </w:rPr>
              <w:t>Decision rights, quality gates, release processes, service procedures, escalation, change control, and handover.</w:t>
            </w:r>
          </w:p>
        </w:tc>
        <w:tc>
          <w:tcPr>
            <w:tcW w:type="dxa" w:w="4896"/>
            <w:tcMar>
              <w:top w:w="130" w:type="dxa"/>
              <w:start w:w="150" w:type="dxa"/>
              <w:bottom w:w="130" w:type="dxa"/>
              <w:end w:w="150" w:type="dxa"/>
            </w:tcMar>
            <w:shd w:fill="EAF7F5"/>
            <w:tcBorders>
              <w:top w:val="single" w:sz="5" w:color="D6DEE7"/>
              <w:bottom w:val="single" w:sz="5" w:color="D6DEE7"/>
              <w:left w:val="single" w:sz="5" w:color="D6DEE7"/>
              <w:right w:val="single" w:sz="5" w:color="D6DEE7"/>
            </w:tcBorders>
          </w:tcPr>
          <w:p>
            <w:pPr>
              <w:spacing w:after="80"/>
            </w:pPr>
            <w:r>
              <w:rPr>
                <w:b/>
                <w:color w:val="0B1F33"/>
                <w:sz w:val="21"/>
              </w:rPr>
              <w:t>Executive reports and presentations</w:t>
            </w:r>
          </w:p>
          <w:p>
            <w:pPr>
              <w:spacing w:after="0" w:line="247" w:lineRule="auto"/>
            </w:pPr>
            <w:r>
              <w:rPr>
                <w:sz w:val="17"/>
              </w:rPr>
              <w:t>Concise interpretation of complex operational and technical evidence for senior decision-makers.</w:t>
            </w:r>
          </w:p>
        </w:tc>
      </w:tr>
      <w:tr>
        <w:tc>
          <w:tcPr>
            <w:tcW w:type="dxa" w:w="4896"/>
            <w:tcMar>
              <w:top w:w="130" w:type="dxa"/>
              <w:start w:w="150" w:type="dxa"/>
              <w:bottom w:w="130" w:type="dxa"/>
              <w:end w:w="150" w:type="dxa"/>
            </w:tcMar>
            <w:shd w:fill="F4F6F8"/>
            <w:tcBorders>
              <w:top w:val="single" w:sz="5" w:color="D6DEE7"/>
              <w:bottom w:val="single" w:sz="5" w:color="D6DEE7"/>
              <w:left w:val="single" w:sz="5" w:color="D6DEE7"/>
              <w:right w:val="single" w:sz="5" w:color="D6DEE7"/>
            </w:tcBorders>
          </w:tcPr>
          <w:p>
            <w:pPr>
              <w:spacing w:after="80"/>
            </w:pPr>
            <w:r>
              <w:rPr>
                <w:b/>
                <w:color w:val="0B1F33"/>
                <w:sz w:val="21"/>
              </w:rPr>
              <w:t>Training and adoption materials</w:t>
            </w:r>
          </w:p>
          <w:p>
            <w:pPr>
              <w:spacing w:after="0" w:line="247" w:lineRule="auto"/>
            </w:pPr>
            <w:r>
              <w:rPr>
                <w:sz w:val="17"/>
              </w:rPr>
              <w:t>Role-based guides, workshops, standard operating procedures, knowledge bases, and support documentation.</w:t>
            </w:r>
          </w:p>
        </w:tc>
        <w:tc>
          <w:tcPr>
            <w:tcW w:type="dxa" w:w="4896"/>
            <w:tcMar>
              <w:top w:w="130" w:type="dxa"/>
              <w:start w:w="150" w:type="dxa"/>
              <w:bottom w:w="130" w:type="dxa"/>
              <w:end w:w="150" w:type="dxa"/>
            </w:tcMar>
            <w:shd w:fill="EAF7F5"/>
            <w:tcBorders>
              <w:top w:val="single" w:sz="5" w:color="D6DEE7"/>
              <w:bottom w:val="single" w:sz="5" w:color="D6DEE7"/>
              <w:left w:val="single" w:sz="5" w:color="D6DEE7"/>
              <w:right w:val="single" w:sz="5" w:color="D6DEE7"/>
            </w:tcBorders>
          </w:tcPr>
          <w:p>
            <w:pPr>
              <w:spacing w:after="80"/>
            </w:pPr>
            <w:r>
              <w:rPr>
                <w:b/>
                <w:color w:val="0B1F33"/>
                <w:sz w:val="21"/>
              </w:rPr>
              <w:t>Tender and technical evaluation materials</w:t>
            </w:r>
          </w:p>
          <w:p>
            <w:pPr>
              <w:spacing w:after="0" w:line="247" w:lineRule="auto"/>
            </w:pPr>
            <w:r>
              <w:rPr>
                <w:sz w:val="17"/>
              </w:rPr>
              <w:t>Technical specifications, solution requirements, evaluation criteria, vendor clarifications, and implementation controls.</w:t>
            </w:r>
          </w:p>
        </w:tc>
      </w:tr>
    </w:tbl>
    <w:p>
      <w:pPr>
        <w:keepNext/>
        <w:widowControl/>
        <w:spacing w:before="120" w:after="80"/>
      </w:pPr>
      <w:r>
        <w:rPr>
          <w:rFonts w:ascii="Aptos Display" w:hAnsi="Aptos Display"/>
          <w:b/>
          <w:color w:val="0F766E"/>
          <w:sz w:val="25"/>
        </w:rPr>
        <w:t>Selected named outputs</w:t>
      </w:r>
    </w:p>
    <w:p>
      <w:pPr>
        <w:pStyle w:val="ListBullet"/>
        <w:keepLines/>
        <w:widowControl/>
        <w:spacing w:after="60" w:line="245" w:lineRule="auto"/>
      </w:pPr>
      <w:r>
        <w:t>UPA x MedIQ Operational Transformation Case Study - executive case study covering governance, architecture, data trust, adoption, and national-scale operations.</w:t>
      </w:r>
    </w:p>
    <w:p>
      <w:pPr>
        <w:pStyle w:val="ListBullet"/>
        <w:keepLines/>
        <w:widowControl/>
        <w:spacing w:after="60" w:line="245" w:lineRule="auto"/>
      </w:pPr>
      <w:r>
        <w:t>MedIQ architecture, integration, security, and operating-control documentation.</w:t>
      </w:r>
    </w:p>
    <w:p>
      <w:pPr>
        <w:pStyle w:val="ListBullet"/>
        <w:keepLines/>
        <w:widowControl/>
        <w:spacing w:after="60" w:line="245" w:lineRule="auto"/>
      </w:pPr>
      <w:r>
        <w:t>Microsoft Dynamics 365 ERP and CRM integration documentation covering mapping, validation, reconciliation, monitoring, audit, and change control.</w:t>
      </w:r>
    </w:p>
    <w:p>
      <w:pPr>
        <w:pStyle w:val="ListBullet"/>
        <w:keepLines/>
        <w:widowControl/>
        <w:spacing w:after="60" w:line="245" w:lineRule="auto"/>
      </w:pPr>
      <w:r>
        <w:t>National Pharmaceutical Track and Trace programme governance and roadmap materials.</w:t>
      </w:r>
    </w:p>
    <w:p>
      <w:pPr>
        <w:pStyle w:val="ListBullet"/>
        <w:keepLines/>
        <w:widowControl/>
        <w:spacing w:after="60" w:line="245" w:lineRule="auto"/>
      </w:pPr>
      <w:r>
        <w:t>Executive dashboards, analytical briefs, KPI definitions, decision notes, and implementation plans.</w:t>
      </w:r>
    </w:p>
    <w:p>
      <w:pPr>
        <w:pStyle w:val="ListBullet"/>
        <w:keepLines/>
        <w:widowControl/>
        <w:spacing w:after="60" w:line="245" w:lineRule="auto"/>
      </w:pPr>
      <w:r>
        <w:t>Technical specifications, API references, development guidelines, QA standards, release procedures, and service documentation produced across government and enterprise platforms.</w:t>
      </w:r>
    </w:p>
    <w:p>
      <w:pPr>
        <w:widowControl/>
      </w:pPr>
      <w:r>
        <w:br w:type="page"/>
      </w:r>
    </w:p>
    <w:tbl>
      <w:tblPr>
        <w:tblW w:type="auto" w:w="0"/>
        <w:jc w:val="center"/>
        <w:tblLayout w:type="fixed"/>
        <w:tblLook w:firstColumn="1" w:firstRow="1" w:lastColumn="0" w:lastRow="0" w:noHBand="0" w:noVBand="1" w:val="04A0"/>
      </w:tblPr>
      <w:tblGrid>
        <w:gridCol w:w="864"/>
        <w:gridCol w:w="9144"/>
      </w:tblGrid>
      <w:tr>
        <w:tc>
          <w:tcPr>
            <w:tcW w:type="dxa" w:w="5018"/>
            <w:shd w:fill="C79A3B"/>
            <w:tcMar>
              <w:top w:w="120" w:type="dxa"/>
              <w:start w:w="140" w:type="dxa"/>
              <w:bottom w:w="120" w:type="dxa"/>
              <w:end w:w="140" w:type="dxa"/>
            </w:tcMar>
            <w:tcBorders>
              <w:top w:val="nil"/>
              <w:bottom w:val="nil"/>
              <w:left w:val="nil"/>
              <w:right w:val="nil"/>
            </w:tcBorders>
          </w:tcPr>
          <w:p>
            <w:pPr>
              <w:jc w:val="center"/>
            </w:pPr>
            <w:r>
              <w:rPr>
                <w:b/>
                <w:color w:val="0B1F33"/>
                <w:sz w:val="32"/>
              </w:rPr>
              <w:t>7</w:t>
            </w:r>
          </w:p>
        </w:tc>
        <w:tc>
          <w:tcPr>
            <w:tcW w:type="dxa" w:w="5018"/>
            <w:shd w:fill="0B1F33"/>
            <w:tcMar>
              <w:top w:w="120" w:type="dxa"/>
              <w:start w:w="140" w:type="dxa"/>
              <w:bottom w:w="120" w:type="dxa"/>
              <w:end w:w="140" w:type="dxa"/>
            </w:tcMar>
            <w:tcBorders>
              <w:top w:val="nil"/>
              <w:bottom w:val="nil"/>
              <w:left w:val="nil"/>
              <w:right w:val="nil"/>
            </w:tcBorders>
          </w:tcPr>
          <w:p>
            <w:pPr>
              <w:spacing w:after="0"/>
            </w:pPr>
            <w:r>
              <w:rPr>
                <w:b/>
                <w:color w:val="FFFFFF"/>
                <w:sz w:val="30"/>
              </w:rPr>
              <w:t>TECHNICAL, DELIVERY, AND GOVERNANCE CAPABILITIES</w:t>
            </w:r>
          </w:p>
          <w:p>
            <w:pPr>
              <w:spacing w:before="40" w:after="0"/>
            </w:pPr>
            <w:r>
              <w:rPr>
                <w:color w:val="D9E7F5"/>
                <w:sz w:val="17"/>
              </w:rPr>
              <w:t>Executive leadership grounded in hands-on engineering and enterprise solution delivery</w:t>
            </w:r>
          </w:p>
        </w:tc>
      </w:tr>
    </w:tbl>
    <w:p>
      <w:pPr>
        <w:widowControl/>
        <w:spacing w:after="0"/>
      </w:pPr>
    </w:p>
    <w:tbl>
      <w:tblPr>
        <w:tblW w:type="auto" w:w="0"/>
        <w:jc w:val="center"/>
        <w:tblLayout w:type="fixed"/>
        <w:tblLook w:firstColumn="1" w:firstRow="1" w:lastColumn="0" w:lastRow="0" w:noHBand="0" w:noVBand="1" w:val="04A0"/>
      </w:tblPr>
      <w:tblGrid>
        <w:gridCol w:w="4896"/>
        <w:gridCol w:w="4896"/>
      </w:tblGrid>
      <w:tr>
        <w:tc>
          <w:tcPr>
            <w:tcW w:type="dxa" w:w="4896"/>
            <w:tcMar>
              <w:top w:w="130" w:type="dxa"/>
              <w:start w:w="150" w:type="dxa"/>
              <w:bottom w:w="130" w:type="dxa"/>
              <w:end w:w="150" w:type="dxa"/>
            </w:tcMar>
            <w:shd w:fill="F4F6F8"/>
            <w:tcBorders>
              <w:top w:val="single" w:sz="5" w:color="D6DEE7"/>
              <w:bottom w:val="single" w:sz="5" w:color="D6DEE7"/>
              <w:left w:val="single" w:sz="5" w:color="D6DEE7"/>
              <w:right w:val="single" w:sz="5" w:color="D6DEE7"/>
            </w:tcBorders>
          </w:tcPr>
          <w:p>
            <w:pPr>
              <w:spacing w:after="80"/>
            </w:pPr>
            <w:r>
              <w:rPr>
                <w:b/>
                <w:color w:val="0B1F33"/>
                <w:sz w:val="21"/>
              </w:rPr>
              <w:t>Executive technology leadership</w:t>
            </w:r>
          </w:p>
          <w:p>
            <w:pPr>
              <w:spacing w:after="0" w:line="247" w:lineRule="auto"/>
            </w:pPr>
            <w:r>
              <w:rPr>
                <w:sz w:val="17"/>
              </w:rPr>
              <w:t>Technology strategy, digital transformation, enterprise architecture, solution architecture, technology roadmaps, portfolio governance, vendor governance, and executive stakeholder management.</w:t>
            </w:r>
          </w:p>
        </w:tc>
        <w:tc>
          <w:tcPr>
            <w:tcW w:type="dxa" w:w="4896"/>
            <w:tcMar>
              <w:top w:w="130" w:type="dxa"/>
              <w:start w:w="150" w:type="dxa"/>
              <w:bottom w:w="130" w:type="dxa"/>
              <w:end w:w="150" w:type="dxa"/>
            </w:tcMar>
            <w:shd w:fill="EAF7F5"/>
            <w:tcBorders>
              <w:top w:val="single" w:sz="5" w:color="D6DEE7"/>
              <w:bottom w:val="single" w:sz="5" w:color="D6DEE7"/>
              <w:left w:val="single" w:sz="5" w:color="D6DEE7"/>
              <w:right w:val="single" w:sz="5" w:color="D6DEE7"/>
            </w:tcBorders>
          </w:tcPr>
          <w:p>
            <w:pPr>
              <w:spacing w:after="80"/>
            </w:pPr>
            <w:r>
              <w:rPr>
                <w:b/>
                <w:color w:val="0B1F33"/>
                <w:sz w:val="21"/>
              </w:rPr>
              <w:t>Enterprise integration</w:t>
            </w:r>
          </w:p>
          <w:p>
            <w:pPr>
              <w:spacing w:after="0" w:line="247" w:lineRule="auto"/>
            </w:pPr>
            <w:r>
              <w:rPr>
                <w:sz w:val="17"/>
              </w:rPr>
              <w:t>Microsoft Dynamics 365 ERP and CRM integration, REST APIs, GraphQL, data connectors, integration governance, mapping, reconciliation, monitoring, and exception management.</w:t>
            </w:r>
          </w:p>
        </w:tc>
      </w:tr>
      <w:tr>
        <w:tc>
          <w:tcPr>
            <w:tcW w:type="dxa" w:w="4896"/>
            <w:tcMar>
              <w:top w:w="130" w:type="dxa"/>
              <w:start w:w="150" w:type="dxa"/>
              <w:bottom w:w="130" w:type="dxa"/>
              <w:end w:w="150" w:type="dxa"/>
            </w:tcMar>
            <w:shd w:fill="F4F6F8"/>
            <w:tcBorders>
              <w:top w:val="single" w:sz="5" w:color="D6DEE7"/>
              <w:bottom w:val="single" w:sz="5" w:color="D6DEE7"/>
              <w:left w:val="single" w:sz="5" w:color="D6DEE7"/>
              <w:right w:val="single" w:sz="5" w:color="D6DEE7"/>
            </w:tcBorders>
          </w:tcPr>
          <w:p>
            <w:pPr>
              <w:spacing w:after="80"/>
            </w:pPr>
            <w:r>
              <w:rPr>
                <w:b/>
                <w:color w:val="0B1F33"/>
                <w:sz w:val="21"/>
              </w:rPr>
              <w:t>Data and analytics</w:t>
            </w:r>
          </w:p>
          <w:p>
            <w:pPr>
              <w:spacing w:after="0" w:line="247" w:lineRule="auto"/>
            </w:pPr>
            <w:r>
              <w:rPr>
                <w:sz w:val="17"/>
              </w:rPr>
              <w:t>PostgreSQL, SQL Server, MySQL, data pipelines, master data management, operational data stores, validation, Power BI, Apache Superset, forecasting support, risk and anomaly analysis.</w:t>
            </w:r>
          </w:p>
        </w:tc>
        <w:tc>
          <w:tcPr>
            <w:tcW w:type="dxa" w:w="4896"/>
            <w:tcMar>
              <w:top w:w="130" w:type="dxa"/>
              <w:start w:w="150" w:type="dxa"/>
              <w:bottom w:w="130" w:type="dxa"/>
              <w:end w:w="150" w:type="dxa"/>
            </w:tcMar>
            <w:shd w:fill="EAF7F5"/>
            <w:tcBorders>
              <w:top w:val="single" w:sz="5" w:color="D6DEE7"/>
              <w:bottom w:val="single" w:sz="5" w:color="D6DEE7"/>
              <w:left w:val="single" w:sz="5" w:color="D6DEE7"/>
              <w:right w:val="single" w:sz="5" w:color="D6DEE7"/>
            </w:tcBorders>
          </w:tcPr>
          <w:p>
            <w:pPr>
              <w:spacing w:after="80"/>
            </w:pPr>
            <w:r>
              <w:rPr>
                <w:b/>
                <w:color w:val="0B1F33"/>
                <w:sz w:val="21"/>
              </w:rPr>
              <w:t>Software engineering</w:t>
            </w:r>
          </w:p>
          <w:p>
            <w:pPr>
              <w:spacing w:after="0" w:line="247" w:lineRule="auto"/>
            </w:pPr>
            <w:r>
              <w:rPr>
                <w:sz w:val="17"/>
              </w:rPr>
              <w:t>C#, ASP.NET Core, .NET Framework, Entity Framework, JavaScript, React.js, Node.js, SQL, web APIs, responsive interfaces, and enterprise application design.</w:t>
            </w:r>
          </w:p>
        </w:tc>
      </w:tr>
      <w:tr>
        <w:tc>
          <w:tcPr>
            <w:tcW w:type="dxa" w:w="4896"/>
            <w:tcMar>
              <w:top w:w="130" w:type="dxa"/>
              <w:start w:w="150" w:type="dxa"/>
              <w:bottom w:w="130" w:type="dxa"/>
              <w:end w:w="150" w:type="dxa"/>
            </w:tcMar>
            <w:shd w:fill="F4F6F8"/>
            <w:tcBorders>
              <w:top w:val="single" w:sz="5" w:color="D6DEE7"/>
              <w:bottom w:val="single" w:sz="5" w:color="D6DEE7"/>
              <w:left w:val="single" w:sz="5" w:color="D6DEE7"/>
              <w:right w:val="single" w:sz="5" w:color="D6DEE7"/>
            </w:tcBorders>
          </w:tcPr>
          <w:p>
            <w:pPr>
              <w:spacing w:after="80"/>
            </w:pPr>
            <w:r>
              <w:rPr>
                <w:b/>
                <w:color w:val="0B1F33"/>
                <w:sz w:val="21"/>
              </w:rPr>
              <w:t>Delivery and quality</w:t>
            </w:r>
          </w:p>
          <w:p>
            <w:pPr>
              <w:spacing w:after="0" w:line="247" w:lineRule="auto"/>
            </w:pPr>
            <w:r>
              <w:rPr>
                <w:sz w:val="17"/>
              </w:rPr>
              <w:t>Agile, SDLC, programme delivery, QA, code review, release governance, documentation, CI/CD, Git, GitHub, Postman, Jira, testing, and service transition.</w:t>
            </w:r>
          </w:p>
        </w:tc>
        <w:tc>
          <w:tcPr>
            <w:tcW w:type="dxa" w:w="4896"/>
            <w:tcMar>
              <w:top w:w="130" w:type="dxa"/>
              <w:start w:w="150" w:type="dxa"/>
              <w:bottom w:w="130" w:type="dxa"/>
              <w:end w:w="150" w:type="dxa"/>
            </w:tcMar>
            <w:shd w:fill="EAF7F5"/>
            <w:tcBorders>
              <w:top w:val="single" w:sz="5" w:color="D6DEE7"/>
              <w:bottom w:val="single" w:sz="5" w:color="D6DEE7"/>
              <w:left w:val="single" w:sz="5" w:color="D6DEE7"/>
              <w:right w:val="single" w:sz="5" w:color="D6DEE7"/>
            </w:tcBorders>
          </w:tcPr>
          <w:p>
            <w:pPr>
              <w:spacing w:after="80"/>
            </w:pPr>
            <w:r>
              <w:rPr>
                <w:b/>
                <w:color w:val="0B1F33"/>
                <w:sz w:val="21"/>
              </w:rPr>
              <w:t>Security and resilience</w:t>
            </w:r>
          </w:p>
          <w:p>
            <w:pPr>
              <w:spacing w:after="0" w:line="247" w:lineRule="auto"/>
            </w:pPr>
            <w:r>
              <w:rPr>
                <w:sz w:val="17"/>
              </w:rPr>
              <w:t>Secure coding, role-based access control, API security, audit logs, data protection, backup and recovery, monitoring, risk management, and operational reliability.</w:t>
            </w:r>
          </w:p>
        </w:tc>
      </w:tr>
      <w:tr>
        <w:tc>
          <w:tcPr>
            <w:tcW w:type="dxa" w:w="4896"/>
            <w:tcMar>
              <w:top w:w="130" w:type="dxa"/>
              <w:start w:w="150" w:type="dxa"/>
              <w:bottom w:w="130" w:type="dxa"/>
              <w:end w:w="150" w:type="dxa"/>
            </w:tcMar>
            <w:shd w:fill="F4F6F8"/>
            <w:tcBorders>
              <w:top w:val="single" w:sz="5" w:color="D6DEE7"/>
              <w:bottom w:val="single" w:sz="5" w:color="D6DEE7"/>
              <w:left w:val="single" w:sz="5" w:color="D6DEE7"/>
              <w:right w:val="single" w:sz="5" w:color="D6DEE7"/>
            </w:tcBorders>
          </w:tcPr>
          <w:p>
            <w:pPr>
              <w:spacing w:after="80"/>
            </w:pPr>
            <w:r>
              <w:rPr>
                <w:b/>
                <w:color w:val="0B1F33"/>
                <w:sz w:val="21"/>
              </w:rPr>
              <w:t>Change and adoption</w:t>
            </w:r>
          </w:p>
          <w:p>
            <w:pPr>
              <w:spacing w:after="0" w:line="247" w:lineRule="auto"/>
            </w:pPr>
            <w:r>
              <w:rPr>
                <w:sz w:val="17"/>
              </w:rPr>
              <w:t>Stakeholder engagement, change management, role-based training, knowledge transfer, user support, documentation, feedback loops, and benefits realisation.</w:t>
            </w:r>
          </w:p>
        </w:tc>
        <w:tc>
          <w:tcPr>
            <w:tcW w:type="dxa" w:w="4896"/>
            <w:tcMar>
              <w:top w:w="130" w:type="dxa"/>
              <w:start w:w="150" w:type="dxa"/>
              <w:bottom w:w="130" w:type="dxa"/>
              <w:end w:w="150" w:type="dxa"/>
            </w:tcMar>
            <w:shd w:fill="EAF7F5"/>
            <w:tcBorders>
              <w:top w:val="single" w:sz="5" w:color="D6DEE7"/>
              <w:bottom w:val="single" w:sz="5" w:color="D6DEE7"/>
              <w:left w:val="single" w:sz="5" w:color="D6DEE7"/>
              <w:right w:val="single" w:sz="5" w:color="D6DEE7"/>
            </w:tcBorders>
          </w:tcPr>
          <w:p>
            <w:pPr>
              <w:spacing w:after="80"/>
            </w:pPr>
            <w:r>
              <w:rPr>
                <w:b/>
                <w:color w:val="0B1F33"/>
                <w:sz w:val="21"/>
              </w:rPr>
              <w:t>Sector experience</w:t>
            </w:r>
          </w:p>
          <w:p>
            <w:pPr>
              <w:spacing w:after="0" w:line="247" w:lineRule="auto"/>
            </w:pPr>
            <w:r>
              <w:rPr>
                <w:sz w:val="17"/>
              </w:rPr>
              <w:t>Government, healthcare, education, procurement, supply chain, regulated public institutions, defence environments, and GCC enterprise delivery.</w:t>
            </w:r>
          </w:p>
        </w:tc>
      </w:tr>
    </w:tbl>
    <w:p>
      <w:pPr>
        <w:keepNext/>
        <w:widowControl/>
        <w:spacing w:before="120" w:after="80"/>
      </w:pPr>
      <w:r>
        <w:rPr>
          <w:rFonts w:ascii="Aptos Display" w:hAnsi="Aptos Display"/>
          <w:b/>
          <w:color w:val="0F766E"/>
          <w:sz w:val="25"/>
        </w:rPr>
        <w:t>Education and languages</w:t>
      </w:r>
    </w:p>
    <w:tbl>
      <w:tblPr>
        <w:tblStyle w:val="TableGrid"/>
        <w:tblW w:type="auto" w:w="0"/>
        <w:jc w:val="center"/>
        <w:tblLook w:firstColumn="1" w:firstRow="1" w:lastColumn="0" w:lastRow="0" w:noHBand="0" w:noVBand="1" w:val="04A0"/>
      </w:tblPr>
      <w:tblGrid>
        <w:gridCol w:w="5018"/>
        <w:gridCol w:w="5018"/>
      </w:tblGrid>
      <w:tr>
        <w:tc>
          <w:tcPr>
            <w:tcW w:type="dxa" w:w="5018"/>
            <w:shd w:fill="EEF4FF"/>
            <w:tcMar>
              <w:top w:w="85" w:type="dxa"/>
              <w:start w:w="110" w:type="dxa"/>
              <w:bottom w:w="85" w:type="dxa"/>
              <w:end w:w="110" w:type="dxa"/>
            </w:tcMar>
          </w:tcPr>
          <w:p>
            <w:pPr>
              <w:spacing w:after="0"/>
            </w:pPr>
            <w:r>
              <w:rPr>
                <w:b/>
              </w:rPr>
              <w:t>Education</w:t>
            </w:r>
          </w:p>
        </w:tc>
        <w:tc>
          <w:tcPr>
            <w:tcW w:type="dxa" w:w="5018"/>
            <w:tcMar>
              <w:top w:w="85" w:type="dxa"/>
              <w:start w:w="110" w:type="dxa"/>
              <w:bottom w:w="85" w:type="dxa"/>
              <w:end w:w="110" w:type="dxa"/>
            </w:tcMar>
          </w:tcPr>
          <w:p>
            <w:pPr>
              <w:spacing w:after="0"/>
            </w:pPr>
            <w:r>
              <w:t>BSc in Computer Science - Faculty of Computers &amp; Informatics, Zagazig University | 2003-2007</w:t>
            </w:r>
          </w:p>
        </w:tc>
      </w:tr>
      <w:tr>
        <w:tc>
          <w:tcPr>
            <w:tcW w:type="dxa" w:w="5018"/>
            <w:shd w:fill="EEF4FF"/>
            <w:tcMar>
              <w:top w:w="85" w:type="dxa"/>
              <w:start w:w="110" w:type="dxa"/>
              <w:bottom w:w="85" w:type="dxa"/>
              <w:end w:w="110" w:type="dxa"/>
            </w:tcMar>
          </w:tcPr>
          <w:p>
            <w:pPr>
              <w:spacing w:after="0"/>
            </w:pPr>
            <w:r>
              <w:rPr>
                <w:b/>
              </w:rPr>
              <w:t>Arabic</w:t>
            </w:r>
          </w:p>
        </w:tc>
        <w:tc>
          <w:tcPr>
            <w:tcW w:type="dxa" w:w="5018"/>
            <w:tcMar>
              <w:top w:w="85" w:type="dxa"/>
              <w:start w:w="110" w:type="dxa"/>
              <w:bottom w:w="85" w:type="dxa"/>
              <w:end w:w="110" w:type="dxa"/>
            </w:tcMar>
          </w:tcPr>
          <w:p>
            <w:pPr>
              <w:spacing w:after="0"/>
            </w:pPr>
            <w:r>
              <w:t>Native</w:t>
            </w:r>
          </w:p>
        </w:tc>
      </w:tr>
      <w:tr>
        <w:tc>
          <w:tcPr>
            <w:tcW w:type="dxa" w:w="5018"/>
            <w:shd w:fill="EEF4FF"/>
            <w:tcMar>
              <w:top w:w="85" w:type="dxa"/>
              <w:start w:w="110" w:type="dxa"/>
              <w:bottom w:w="85" w:type="dxa"/>
              <w:end w:w="110" w:type="dxa"/>
            </w:tcMar>
          </w:tcPr>
          <w:p>
            <w:pPr>
              <w:spacing w:after="0"/>
            </w:pPr>
            <w:r>
              <w:rPr>
                <w:b/>
              </w:rPr>
              <w:t>English</w:t>
            </w:r>
          </w:p>
        </w:tc>
        <w:tc>
          <w:tcPr>
            <w:tcW w:type="dxa" w:w="5018"/>
            <w:tcMar>
              <w:top w:w="85" w:type="dxa"/>
              <w:start w:w="110" w:type="dxa"/>
              <w:bottom w:w="85" w:type="dxa"/>
              <w:end w:w="110" w:type="dxa"/>
            </w:tcMar>
          </w:tcPr>
          <w:p>
            <w:pPr>
              <w:spacing w:after="0"/>
            </w:pPr>
            <w:r>
              <w:t>Professional Working Proficiency</w:t>
            </w:r>
          </w:p>
        </w:tc>
      </w:tr>
      <w:tr>
        <w:tc>
          <w:tcPr>
            <w:tcW w:type="dxa" w:w="5018"/>
            <w:shd w:fill="EEF4FF"/>
            <w:tcMar>
              <w:top w:w="85" w:type="dxa"/>
              <w:start w:w="110" w:type="dxa"/>
              <w:bottom w:w="85" w:type="dxa"/>
              <w:end w:w="110" w:type="dxa"/>
            </w:tcMar>
          </w:tcPr>
          <w:p>
            <w:pPr>
              <w:spacing w:after="0"/>
            </w:pPr>
            <w:r>
              <w:rPr>
                <w:b/>
              </w:rPr>
              <w:t>Current location</w:t>
            </w:r>
          </w:p>
        </w:tc>
        <w:tc>
          <w:tcPr>
            <w:tcW w:type="dxa" w:w="5018"/>
            <w:tcMar>
              <w:top w:w="85" w:type="dxa"/>
              <w:start w:w="110" w:type="dxa"/>
              <w:bottom w:w="85" w:type="dxa"/>
              <w:end w:w="110" w:type="dxa"/>
            </w:tcMar>
          </w:tcPr>
          <w:p>
            <w:pPr>
              <w:spacing w:after="0"/>
            </w:pPr>
            <w:r>
              <w:t>Cairo, Egypt</w:t>
            </w:r>
          </w:p>
        </w:tc>
      </w:tr>
      <w:tr>
        <w:tc>
          <w:tcPr>
            <w:tcW w:type="dxa" w:w="5018"/>
            <w:shd w:fill="EEF4FF"/>
            <w:tcMar>
              <w:top w:w="85" w:type="dxa"/>
              <w:start w:w="110" w:type="dxa"/>
              <w:bottom w:w="85" w:type="dxa"/>
              <w:end w:w="110" w:type="dxa"/>
            </w:tcMar>
          </w:tcPr>
          <w:p>
            <w:pPr>
              <w:spacing w:after="0"/>
            </w:pPr>
            <w:r>
              <w:rPr>
                <w:b/>
              </w:rPr>
              <w:t>International experience</w:t>
            </w:r>
          </w:p>
        </w:tc>
        <w:tc>
          <w:tcPr>
            <w:tcW w:type="dxa" w:w="5018"/>
            <w:tcMar>
              <w:top w:w="85" w:type="dxa"/>
              <w:start w:w="110" w:type="dxa"/>
              <w:bottom w:w="85" w:type="dxa"/>
              <w:end w:w="110" w:type="dxa"/>
            </w:tcMar>
          </w:tcPr>
          <w:p>
            <w:pPr>
              <w:spacing w:after="0"/>
            </w:pPr>
            <w:r>
              <w:t>Muscat, Oman | May 2016 - October 2020</w:t>
            </w:r>
          </w:p>
        </w:tc>
      </w:tr>
    </w:tbl>
    <w:p>
      <w:pPr>
        <w:widowControl/>
      </w:pPr>
      <w:r>
        <w:br w:type="page"/>
      </w:r>
    </w:p>
    <w:tbl>
      <w:tblPr>
        <w:tblW w:type="auto" w:w="0"/>
        <w:jc w:val="center"/>
        <w:tblLayout w:type="fixed"/>
        <w:tblLook w:firstColumn="1" w:firstRow="1" w:lastColumn="0" w:lastRow="0" w:noHBand="0" w:noVBand="1" w:val="04A0"/>
      </w:tblPr>
      <w:tblGrid>
        <w:gridCol w:w="864"/>
        <w:gridCol w:w="9144"/>
      </w:tblGrid>
      <w:tr>
        <w:tc>
          <w:tcPr>
            <w:tcW w:type="dxa" w:w="5018"/>
            <w:shd w:fill="C79A3B"/>
            <w:tcMar>
              <w:top w:w="120" w:type="dxa"/>
              <w:start w:w="140" w:type="dxa"/>
              <w:bottom w:w="120" w:type="dxa"/>
              <w:end w:w="140" w:type="dxa"/>
            </w:tcMar>
            <w:tcBorders>
              <w:top w:val="nil"/>
              <w:bottom w:val="nil"/>
              <w:left w:val="nil"/>
              <w:right w:val="nil"/>
            </w:tcBorders>
          </w:tcPr>
          <w:p>
            <w:pPr>
              <w:jc w:val="center"/>
            </w:pPr>
            <w:r>
              <w:rPr>
                <w:b/>
                <w:color w:val="0B1F33"/>
                <w:sz w:val="32"/>
              </w:rPr>
              <w:t>8</w:t>
            </w:r>
          </w:p>
        </w:tc>
        <w:tc>
          <w:tcPr>
            <w:tcW w:type="dxa" w:w="5018"/>
            <w:shd w:fill="0B1F33"/>
            <w:tcMar>
              <w:top w:w="120" w:type="dxa"/>
              <w:start w:w="140" w:type="dxa"/>
              <w:bottom w:w="120" w:type="dxa"/>
              <w:end w:w="140" w:type="dxa"/>
            </w:tcMar>
            <w:tcBorders>
              <w:top w:val="nil"/>
              <w:bottom w:val="nil"/>
              <w:left w:val="nil"/>
              <w:right w:val="nil"/>
            </w:tcBorders>
          </w:tcPr>
          <w:p>
            <w:pPr>
              <w:spacing w:after="0"/>
            </w:pPr>
            <w:r>
              <w:rPr>
                <w:b/>
                <w:color w:val="FFFFFF"/>
                <w:sz w:val="30"/>
              </w:rPr>
              <w:t>SUPPORTING EVIDENCE, CONFIDENTIALITY, AND CONTACT</w:t>
            </w:r>
          </w:p>
          <w:p>
            <w:pPr>
              <w:spacing w:before="40" w:after="0"/>
            </w:pPr>
            <w:r>
              <w:rPr>
                <w:color w:val="D9E7F5"/>
                <w:sz w:val="17"/>
              </w:rPr>
              <w:t>A clear index of supplementary materials and responsible-use boundaries</w:t>
            </w:r>
          </w:p>
        </w:tc>
      </w:tr>
    </w:tbl>
    <w:p>
      <w:pPr>
        <w:widowControl/>
        <w:spacing w:after="0"/>
      </w:pPr>
    </w:p>
    <w:p>
      <w:pPr>
        <w:keepNext/>
        <w:widowControl/>
        <w:spacing w:before="120" w:after="80"/>
      </w:pPr>
      <w:r>
        <w:rPr>
          <w:rFonts w:ascii="Aptos Display" w:hAnsi="Aptos Display"/>
          <w:b/>
          <w:color w:val="0F766E"/>
          <w:sz w:val="25"/>
        </w:rPr>
        <w:t>Supporting evidence available</w:t>
      </w:r>
    </w:p>
    <w:p>
      <w:pPr>
        <w:pStyle w:val="ListBullet"/>
        <w:keepLines/>
        <w:widowControl/>
        <w:spacing w:after="60" w:line="245" w:lineRule="auto"/>
      </w:pPr>
      <w:r>
        <w:t>Current executive CV and ATS-friendly resume.</w:t>
      </w:r>
    </w:p>
    <w:p>
      <w:pPr>
        <w:pStyle w:val="ListBullet"/>
        <w:keepLines/>
        <w:widowControl/>
        <w:spacing w:after="60" w:line="245" w:lineRule="auto"/>
      </w:pPr>
      <w:r>
        <w:t>Digital portfolio with selected programmes, project descriptions, media, and professional profile.</w:t>
      </w:r>
    </w:p>
    <w:p>
      <w:pPr>
        <w:pStyle w:val="ListBullet"/>
        <w:keepLines/>
        <w:widowControl/>
        <w:spacing w:after="60" w:line="245" w:lineRule="auto"/>
      </w:pPr>
      <w:r>
        <w:t>Approved or publication-safe case studies and executive reports.</w:t>
      </w:r>
    </w:p>
    <w:p>
      <w:pPr>
        <w:pStyle w:val="ListBullet"/>
        <w:keepLines/>
        <w:widowControl/>
        <w:spacing w:after="60" w:line="245" w:lineRule="auto"/>
      </w:pPr>
      <w:r>
        <w:t>Architecture descriptions, technical specifications, integration documentation, and sample operating procedures where institutional approval permits sharing.</w:t>
      </w:r>
    </w:p>
    <w:p>
      <w:pPr>
        <w:pStyle w:val="ListBullet"/>
        <w:keepLines/>
        <w:widowControl/>
        <w:spacing w:after="60" w:line="245" w:lineRule="auto"/>
      </w:pPr>
      <w:r>
        <w:t>Presentations, dashboards, analytical briefs, training materials, and implementation plans with sensitive content removed.</w:t>
      </w:r>
    </w:p>
    <w:p>
      <w:pPr>
        <w:pStyle w:val="ListBullet"/>
        <w:keepLines/>
        <w:widowControl/>
        <w:spacing w:after="60" w:line="245" w:lineRule="auto"/>
      </w:pPr>
      <w:r>
        <w:t>Professional references from senior executives and institutional stakeholders, subject to prior consent.</w:t>
      </w:r>
    </w:p>
    <w:p>
      <w:pPr>
        <w:keepNext/>
        <w:widowControl/>
        <w:spacing w:before="120" w:after="80"/>
      </w:pPr>
      <w:r>
        <w:rPr>
          <w:rFonts w:ascii="Aptos Display" w:hAnsi="Aptos Display"/>
          <w:b/>
          <w:color w:val="0F766E"/>
          <w:sz w:val="25"/>
        </w:rPr>
        <w:t>Information intentionally excluded from this public version</w:t>
      </w:r>
    </w:p>
    <w:tbl>
      <w:tblPr>
        <w:tblW w:type="auto" w:w="0"/>
        <w:jc w:val="center"/>
        <w:tblLayout w:type="fixed"/>
        <w:tblLook w:firstColumn="1" w:firstRow="1" w:lastColumn="0" w:lastRow="0" w:noHBand="0" w:noVBand="1" w:val="04A0"/>
      </w:tblPr>
      <w:tblGrid>
        <w:gridCol w:w="4896"/>
        <w:gridCol w:w="4896"/>
      </w:tblGrid>
      <w:tr>
        <w:tc>
          <w:tcPr>
            <w:tcW w:type="dxa" w:w="4896"/>
            <w:tcMar>
              <w:top w:w="130" w:type="dxa"/>
              <w:start w:w="150" w:type="dxa"/>
              <w:bottom w:w="130" w:type="dxa"/>
              <w:end w:w="150" w:type="dxa"/>
            </w:tcMar>
            <w:shd w:fill="F4F6F8"/>
            <w:tcBorders>
              <w:top w:val="single" w:sz="5" w:color="D6DEE7"/>
              <w:bottom w:val="single" w:sz="5" w:color="D6DEE7"/>
              <w:left w:val="single" w:sz="5" w:color="D6DEE7"/>
              <w:right w:val="single" w:sz="5" w:color="D6DEE7"/>
            </w:tcBorders>
          </w:tcPr>
          <w:p>
            <w:pPr>
              <w:spacing w:after="80"/>
            </w:pPr>
            <w:r>
              <w:rPr>
                <w:b/>
                <w:color w:val="0B1F33"/>
                <w:sz w:val="21"/>
              </w:rPr>
              <w:t>Confidential operational data</w:t>
            </w:r>
          </w:p>
          <w:p>
            <w:pPr>
              <w:spacing w:after="0" w:line="247" w:lineRule="auto"/>
            </w:pPr>
            <w:r>
              <w:rPr>
                <w:sz w:val="17"/>
              </w:rPr>
              <w:t>Entity-level records, supplier-sensitive information, protected personal data, credentials, and restricted operational metrics are not included.</w:t>
            </w:r>
          </w:p>
        </w:tc>
        <w:tc>
          <w:tcPr>
            <w:tcW w:type="dxa" w:w="4896"/>
            <w:tcMar>
              <w:top w:w="130" w:type="dxa"/>
              <w:start w:w="150" w:type="dxa"/>
              <w:bottom w:w="130" w:type="dxa"/>
              <w:end w:w="150" w:type="dxa"/>
            </w:tcMar>
            <w:shd w:fill="EAF7F5"/>
            <w:tcBorders>
              <w:top w:val="single" w:sz="5" w:color="D6DEE7"/>
              <w:bottom w:val="single" w:sz="5" w:color="D6DEE7"/>
              <w:left w:val="single" w:sz="5" w:color="D6DEE7"/>
              <w:right w:val="single" w:sz="5" w:color="D6DEE7"/>
            </w:tcBorders>
          </w:tcPr>
          <w:p>
            <w:pPr>
              <w:spacing w:after="80"/>
            </w:pPr>
            <w:r>
              <w:rPr>
                <w:b/>
                <w:color w:val="0B1F33"/>
                <w:sz w:val="21"/>
              </w:rPr>
              <w:t>Security-sensitive detail</w:t>
            </w:r>
          </w:p>
          <w:p>
            <w:pPr>
              <w:spacing w:after="0" w:line="247" w:lineRule="auto"/>
            </w:pPr>
            <w:r>
              <w:rPr>
                <w:sz w:val="17"/>
              </w:rPr>
              <w:t>Source code, infrastructure configurations, security controls, vulnerabilities, access information, and restricted architecture details are excluded.</w:t>
            </w:r>
          </w:p>
        </w:tc>
      </w:tr>
      <w:tr>
        <w:tc>
          <w:tcPr>
            <w:tcW w:type="dxa" w:w="4896"/>
            <w:tcMar>
              <w:top w:w="130" w:type="dxa"/>
              <w:start w:w="150" w:type="dxa"/>
              <w:bottom w:w="130" w:type="dxa"/>
              <w:end w:w="150" w:type="dxa"/>
            </w:tcMar>
            <w:shd w:fill="F4F6F8"/>
            <w:tcBorders>
              <w:top w:val="single" w:sz="5" w:color="D6DEE7"/>
              <w:bottom w:val="single" w:sz="5" w:color="D6DEE7"/>
              <w:left w:val="single" w:sz="5" w:color="D6DEE7"/>
              <w:right w:val="single" w:sz="5" w:color="D6DEE7"/>
            </w:tcBorders>
          </w:tcPr>
          <w:p>
            <w:pPr>
              <w:spacing w:after="80"/>
            </w:pPr>
            <w:r>
              <w:rPr>
                <w:b/>
                <w:color w:val="0B1F33"/>
                <w:sz w:val="21"/>
              </w:rPr>
              <w:t>Unapproved institutional material</w:t>
            </w:r>
          </w:p>
          <w:p>
            <w:pPr>
              <w:spacing w:after="0" w:line="247" w:lineRule="auto"/>
            </w:pPr>
            <w:r>
              <w:rPr>
                <w:sz w:val="17"/>
              </w:rPr>
              <w:t>Internal documents, proprietary templates, contractual content, and materials requiring employer or client approval are not reproduced.</w:t>
            </w:r>
          </w:p>
        </w:tc>
        <w:tc>
          <w:tcPr>
            <w:tcW w:type="dxa" w:w="4896"/>
            <w:tcMar>
              <w:top w:w="130" w:type="dxa"/>
              <w:start w:w="150" w:type="dxa"/>
              <w:bottom w:w="130" w:type="dxa"/>
              <w:end w:w="150" w:type="dxa"/>
            </w:tcMar>
            <w:shd w:fill="EAF7F5"/>
            <w:tcBorders>
              <w:top w:val="single" w:sz="5" w:color="D6DEE7"/>
              <w:bottom w:val="single" w:sz="5" w:color="D6DEE7"/>
              <w:left w:val="single" w:sz="5" w:color="D6DEE7"/>
              <w:right w:val="single" w:sz="5" w:color="D6DEE7"/>
            </w:tcBorders>
          </w:tcPr>
          <w:p>
            <w:pPr>
              <w:spacing w:after="80"/>
            </w:pPr>
            <w:r>
              <w:rPr>
                <w:b/>
                <w:color w:val="0B1F33"/>
                <w:sz w:val="21"/>
              </w:rPr>
              <w:t>Unverified claims</w:t>
            </w:r>
          </w:p>
          <w:p>
            <w:pPr>
              <w:spacing w:after="0" w:line="247" w:lineRule="auto"/>
            </w:pPr>
            <w:r>
              <w:rPr>
                <w:sz w:val="17"/>
              </w:rPr>
              <w:t>Metrics and achievements are limited to current professional records and publication-safe portfolio evidence.</w:t>
            </w:r>
          </w:p>
        </w:tc>
      </w:tr>
    </w:tbl>
    <w:tbl>
      <w:tblPr>
        <w:tblW w:type="auto" w:w="0"/>
        <w:jc w:val="center"/>
        <w:tblLayout w:type="fixed"/>
        <w:tblLook w:firstColumn="1" w:firstRow="1" w:lastColumn="0" w:lastRow="0" w:noHBand="0" w:noVBand="1" w:val="04A0"/>
      </w:tblPr>
      <w:tblGrid>
        <w:gridCol w:w="173"/>
        <w:gridCol w:w="9835"/>
      </w:tblGrid>
      <w:tr>
        <w:tc>
          <w:tcPr>
            <w:tcW w:type="dxa" w:w="5018"/>
            <w:shd w:fill="0F766E"/>
            <w:tcMar>
              <w:top w:w="0" w:type="dxa"/>
              <w:start w:w="0" w:type="dxa"/>
              <w:bottom w:w="0" w:type="dxa"/>
              <w:end w:w="0" w:type="dxa"/>
            </w:tcMar>
            <w:tcBorders>
              <w:top w:val="single" w:sz="4" w:color="D6DEE7"/>
              <w:bottom w:val="single" w:sz="4" w:color="D6DEE7"/>
              <w:left w:val="single" w:sz="4" w:color="D6DEE7"/>
              <w:right w:val="single" w:sz="4" w:color="D6DEE7"/>
            </w:tcBorders>
          </w:tcPr>
          <w:p/>
        </w:tc>
        <w:tc>
          <w:tcPr>
            <w:tcW w:type="dxa" w:w="5018"/>
            <w:shd w:fill="EAF7F5"/>
            <w:tcMar>
              <w:top w:w="130" w:type="dxa"/>
              <w:start w:w="160" w:type="dxa"/>
              <w:bottom w:w="130" w:type="dxa"/>
              <w:end w:w="160" w:type="dxa"/>
            </w:tcMar>
            <w:tcBorders>
              <w:top w:val="single" w:sz="4" w:color="D6DEE7"/>
              <w:bottom w:val="single" w:sz="4" w:color="D6DEE7"/>
              <w:left w:val="single" w:sz="4" w:color="D6DEE7"/>
              <w:right w:val="single" w:sz="4" w:color="D6DEE7"/>
            </w:tcBorders>
          </w:tcPr>
          <w:p>
            <w:pPr>
              <w:spacing w:after="60"/>
            </w:pPr>
            <w:r>
              <w:rPr>
                <w:b/>
                <w:color w:val="0F766E"/>
                <w:sz w:val="21"/>
              </w:rPr>
              <w:t>Authorship and contribution statement</w:t>
            </w:r>
          </w:p>
          <w:p>
            <w:pPr>
              <w:spacing w:after="0" w:line="250" w:lineRule="auto"/>
            </w:pPr>
            <w:r>
              <w:rPr>
                <w:sz w:val="18"/>
              </w:rPr>
              <w:t>The original writing sample in this document was authored by Mahmoud Salama for general professional use. Portfolio descriptions reflect work that he led, architected, delivered, governed, contributed to, or formally supported. Where programmes were collaborative, the document describes his professional contribution and does not claim sole institutional authorship.</w:t>
            </w:r>
          </w:p>
        </w:tc>
      </w:tr>
    </w:tbl>
    <w:p>
      <w:pPr>
        <w:keepNext/>
        <w:widowControl/>
        <w:spacing w:before="120" w:after="80"/>
      </w:pPr>
      <w:r>
        <w:rPr>
          <w:rFonts w:ascii="Aptos Display" w:hAnsi="Aptos Display"/>
          <w:b/>
          <w:color w:val="0F766E"/>
          <w:sz w:val="25"/>
        </w:rPr>
        <w:t>Professional contact and public links</w:t>
      </w:r>
    </w:p>
    <w:tbl>
      <w:tblPr>
        <w:tblStyle w:val="TableGrid"/>
        <w:tblW w:type="auto" w:w="0"/>
        <w:jc w:val="center"/>
        <w:tblLook w:firstColumn="1" w:firstRow="1" w:lastColumn="0" w:lastRow="0" w:noHBand="0" w:noVBand="1" w:val="04A0"/>
      </w:tblPr>
      <w:tblGrid>
        <w:gridCol w:w="5018"/>
        <w:gridCol w:w="5018"/>
      </w:tblGrid>
      <w:tr>
        <w:tc>
          <w:tcPr>
            <w:tcW w:type="dxa" w:w="5018"/>
            <w:shd w:fill="EEF4FF"/>
            <w:tcMar>
              <w:top w:w="85" w:type="dxa"/>
              <w:start w:w="110" w:type="dxa"/>
              <w:bottom w:w="85" w:type="dxa"/>
              <w:end w:w="110" w:type="dxa"/>
            </w:tcMar>
          </w:tcPr>
          <w:p>
            <w:pPr>
              <w:spacing w:after="0"/>
            </w:pPr>
            <w:r>
              <w:rPr>
                <w:b/>
              </w:rPr>
              <w:t>Name</w:t>
            </w:r>
          </w:p>
        </w:tc>
        <w:tc>
          <w:tcPr>
            <w:tcW w:type="dxa" w:w="5018"/>
            <w:tcMar>
              <w:top w:w="85" w:type="dxa"/>
              <w:start w:w="110" w:type="dxa"/>
              <w:bottom w:w="85" w:type="dxa"/>
              <w:end w:w="110" w:type="dxa"/>
            </w:tcMar>
          </w:tcPr>
          <w:p>
            <w:pPr>
              <w:spacing w:after="0"/>
            </w:pPr>
            <w:r>
              <w:t>Mahmoud Salama</w:t>
            </w:r>
          </w:p>
        </w:tc>
      </w:tr>
      <w:tr>
        <w:tc>
          <w:tcPr>
            <w:tcW w:type="dxa" w:w="5018"/>
            <w:shd w:fill="EEF4FF"/>
            <w:tcMar>
              <w:top w:w="85" w:type="dxa"/>
              <w:start w:w="110" w:type="dxa"/>
              <w:bottom w:w="85" w:type="dxa"/>
              <w:end w:w="110" w:type="dxa"/>
            </w:tcMar>
          </w:tcPr>
          <w:p>
            <w:pPr>
              <w:spacing w:after="0"/>
            </w:pPr>
            <w:r>
              <w:rPr>
                <w:b/>
              </w:rPr>
              <w:t>Title</w:t>
            </w:r>
          </w:p>
        </w:tc>
        <w:tc>
          <w:tcPr>
            <w:tcW w:type="dxa" w:w="5018"/>
            <w:tcMar>
              <w:top w:w="85" w:type="dxa"/>
              <w:start w:w="110" w:type="dxa"/>
              <w:bottom w:w="85" w:type="dxa"/>
              <w:end w:w="110" w:type="dxa"/>
            </w:tcMar>
          </w:tcPr>
          <w:p>
            <w:pPr>
              <w:spacing w:after="0"/>
            </w:pPr>
            <w:r>
              <w:t>Chief Technology &amp; Digital Transformation Officer | Enterprise Architect</w:t>
            </w:r>
          </w:p>
        </w:tc>
      </w:tr>
      <w:tr>
        <w:tc>
          <w:tcPr>
            <w:tcW w:type="dxa" w:w="5018"/>
            <w:shd w:fill="EEF4FF"/>
            <w:tcMar>
              <w:top w:w="85" w:type="dxa"/>
              <w:start w:w="110" w:type="dxa"/>
              <w:bottom w:w="85" w:type="dxa"/>
              <w:end w:w="110" w:type="dxa"/>
            </w:tcMar>
          </w:tcPr>
          <w:p>
            <w:pPr>
              <w:spacing w:after="0"/>
            </w:pPr>
            <w:r>
              <w:rPr>
                <w:b/>
              </w:rPr>
              <w:t>Location</w:t>
            </w:r>
          </w:p>
        </w:tc>
        <w:tc>
          <w:tcPr>
            <w:tcW w:type="dxa" w:w="5018"/>
            <w:tcMar>
              <w:top w:w="85" w:type="dxa"/>
              <w:start w:w="110" w:type="dxa"/>
              <w:bottom w:w="85" w:type="dxa"/>
              <w:end w:w="110" w:type="dxa"/>
            </w:tcMar>
          </w:tcPr>
          <w:p>
            <w:pPr>
              <w:spacing w:after="0"/>
            </w:pPr>
            <w:r>
              <w:t>Cairo, Egypt</w:t>
            </w:r>
          </w:p>
        </w:tc>
      </w:tr>
      <w:tr>
        <w:tc>
          <w:tcPr>
            <w:tcW w:type="dxa" w:w="5018"/>
            <w:shd w:fill="EEF4FF"/>
            <w:tcMar>
              <w:top w:w="85" w:type="dxa"/>
              <w:start w:w="110" w:type="dxa"/>
              <w:bottom w:w="85" w:type="dxa"/>
              <w:end w:w="110" w:type="dxa"/>
            </w:tcMar>
          </w:tcPr>
          <w:p>
            <w:pPr>
              <w:spacing w:after="0"/>
            </w:pPr>
            <w:r>
              <w:rPr>
                <w:b/>
              </w:rPr>
              <w:t>Telephone</w:t>
            </w:r>
          </w:p>
        </w:tc>
        <w:tc>
          <w:tcPr>
            <w:tcW w:type="dxa" w:w="5018"/>
            <w:tcMar>
              <w:top w:w="85" w:type="dxa"/>
              <w:start w:w="110" w:type="dxa"/>
              <w:bottom w:w="85" w:type="dxa"/>
              <w:end w:w="110" w:type="dxa"/>
            </w:tcMar>
          </w:tcPr>
          <w:p>
            <w:pPr>
              <w:spacing w:after="0"/>
            </w:pPr>
            <w:r>
              <w:t>+20 122 015 6077</w:t>
            </w:r>
          </w:p>
        </w:tc>
      </w:tr>
      <w:tr>
        <w:tc>
          <w:tcPr>
            <w:tcW w:type="dxa" w:w="5018"/>
            <w:shd w:fill="EEF4FF"/>
            <w:tcMar>
              <w:top w:w="85" w:type="dxa"/>
              <w:start w:w="110" w:type="dxa"/>
              <w:bottom w:w="85" w:type="dxa"/>
              <w:end w:w="110" w:type="dxa"/>
            </w:tcMar>
          </w:tcPr>
          <w:p>
            <w:pPr>
              <w:spacing w:after="0"/>
            </w:pPr>
            <w:r>
              <w:rPr>
                <w:b/>
              </w:rPr>
              <w:t>Email</w:t>
            </w:r>
          </w:p>
        </w:tc>
        <w:tc>
          <w:tcPr>
            <w:tcW w:type="dxa" w:w="5018"/>
            <w:tcMar>
              <w:top w:w="85" w:type="dxa"/>
              <w:start w:w="110" w:type="dxa"/>
              <w:bottom w:w="85" w:type="dxa"/>
              <w:end w:w="110" w:type="dxa"/>
            </w:tcMar>
          </w:tcPr>
          <w:p>
            <w:pPr>
              <w:spacing w:after="0"/>
            </w:pPr>
            <w:r>
              <w:t>ma7moud.salamaaa@gmail.com</w:t>
            </w:r>
          </w:p>
        </w:tc>
      </w:tr>
    </w:tbl>
    <w:p>
      <w:pPr>
        <w:pStyle w:val="BodyText"/>
        <w:widowControl/>
        <w:spacing w:before="160"/>
      </w:pPr>
      <w:r>
        <w:rPr>
          <w:b/>
        </w:rPr>
        <w:t xml:space="preserve">Portfolio: </w:t>
      </w:r>
      <w:hyperlink r:id="rId12">
        <w:r>
          <w:rPr>
            <w:color w:val="2563EB"/>
            <w:u w:val="single"/>
          </w:rPr>
          <w:t>mahmoud-salama.vercel.app</w:t>
        </w:r>
      </w:hyperlink>
    </w:p>
    <w:p>
      <w:pPr>
        <w:pStyle w:val="BodyText"/>
        <w:widowControl/>
      </w:pPr>
      <w:r>
        <w:rPr>
          <w:b/>
        </w:rPr>
        <w:t xml:space="preserve">LinkedIn: </w:t>
      </w:r>
      <w:hyperlink r:id="rId13">
        <w:r>
          <w:rPr>
            <w:color w:val="2563EB"/>
            <w:u w:val="single"/>
          </w:rPr>
          <w:t>linkedin.com/in/mahmoud-salama-30249b34</w:t>
        </w:r>
      </w:hyperlink>
    </w:p>
    <w:p>
      <w:pPr>
        <w:pStyle w:val="BodyText"/>
        <w:widowControl/>
      </w:pPr>
      <w:r>
        <w:rPr>
          <w:b/>
        </w:rPr>
        <w:t xml:space="preserve">GitHub: </w:t>
      </w:r>
      <w:hyperlink r:id="rId14">
        <w:r>
          <w:rPr>
            <w:color w:val="2563EB"/>
            <w:u w:val="single"/>
          </w:rPr>
          <w:t>github.com/MahmoudSalamaaa</w:t>
        </w:r>
      </w:hyperlink>
    </w:p>
    <w:p>
      <w:pPr>
        <w:pStyle w:val="BodyText"/>
        <w:widowControl/>
      </w:pPr>
      <w:r>
        <w:rPr>
          <w:b/>
        </w:rPr>
        <w:t xml:space="preserve">Digital card: </w:t>
      </w:r>
      <w:hyperlink r:id="rId15">
        <w:r>
          <w:rPr>
            <w:color w:val="2563EB"/>
            <w:u w:val="single"/>
          </w:rPr>
          <w:t>mahmoud-salama.vercel.app/digital_card/index.html</w:t>
        </w:r>
      </w:hyperlink>
    </w:p>
    <w:p>
      <w:pPr>
        <w:widowControl/>
        <w:spacing w:before="360"/>
        <w:jc w:val="center"/>
      </w:pPr>
      <w:r>
        <w:rPr>
          <w:b/>
          <w:color w:val="0B1F33"/>
          <w:sz w:val="20"/>
        </w:rPr>
        <w:t>END OF PORTFOLIO</w:t>
      </w:r>
    </w:p>
    <w:sectPr w:rsidR="00FC693F" w:rsidRPr="0006063C" w:rsidSect="00034616">
      <w:headerReference w:type="default" r:id="rId9"/>
      <w:footerReference w:type="default" r:id="rId10"/>
      <w:headerReference w:type="first" r:id="rId16"/>
      <w:footerReference w:type="first" r:id="rId17"/>
      <w:pgSz w:w="11909" w:h="16834"/>
      <w:pgMar w:top="835" w:right="936" w:bottom="792" w:left="936" w:header="36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32" w:val="right"/>
      </w:tabs>
    </w:pPr>
    <w:r>
      <w:rPr>
        <w:color w:val="5B6777"/>
        <w:sz w:val="15"/>
      </w:rPr>
      <w:t>Generic professional edition  |  July 2026</w:t>
    </w:r>
    <w:r>
      <w:tab/>
    </w:r>
    <w:r>
      <w:rPr>
        <w:color w:val="5B6777"/>
        <w:sz w:val="15"/>
      </w:rPr>
      <w:t xml:space="preserve">Page </w:t>
    </w: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B1F33"/>
        <w:sz w:val="15"/>
      </w:rPr>
      <w:t>MAHMOUD SALAMA  |  SELECTED WRITING SAMPLE &amp; EXECUTIVE PORTFOLIO</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color w:val="1F2937"/>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rPr>
      <w:rFonts w:ascii="Aptos" w:hAnsi="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mahmoud-salama.vercel.app" TargetMode="External"/><Relationship Id="rId13" Type="http://schemas.openxmlformats.org/officeDocument/2006/relationships/hyperlink" Target="https://www.linkedin.com/in/mahmoud-salama-30249b34" TargetMode="External"/><Relationship Id="rId14" Type="http://schemas.openxmlformats.org/officeDocument/2006/relationships/hyperlink" Target="https://github.com/MahmoudSalamaaa" TargetMode="External"/><Relationship Id="rId15" Type="http://schemas.openxmlformats.org/officeDocument/2006/relationships/hyperlink" Target="https://mahmoud-salama.vercel.app/digital_card/index.html" TargetMode="External"/><Relationship Id="rId16" Type="http://schemas.openxmlformats.org/officeDocument/2006/relationships/header" Target="header2.xml"/><Relationship Id="rId1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Mahmoud Salama - Selected Writing Sample and Executive Technology Portfolio</dc:title>
  <dc:subject>Generic professional writing sample and portfolio for executive, consulting, and institutional applications</dc:subject>
  <dc:creator>Mahmoud Salama</dc:creator>
  <cp:keywords>Digital Transformation, Enterprise Architecture, Technology Leadership, Government, Healthcare, Education, Data, Integration, Portfolio</cp:keywords>
  <dc:description>Generic professional edition prepared 24 July 2026.</dc:description>
  <cp:lastModifiedBy/>
  <cp:revision>1</cp:revision>
  <dcterms:created xsi:type="dcterms:W3CDTF">2013-12-23T23:15:00Z</dcterms:created>
  <dcterms:modified xsi:type="dcterms:W3CDTF">2013-12-23T23:15:00Z</dcterms:modified>
  <cp:category/>
</cp:coreProperties>
</file>