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69"/>
      </w:tblGrid>
      <w:tr>
        <w:tc>
          <w:tcPr>
            <w:tcW w:type="dxa" w:w="10469"/>
            <w:shd w:fill="0A2239"/>
            <w:vAlign w:val="center"/>
          </w:tcPr>
          <w:p>
            <w:pPr>
              <w:spacing w:before="10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38"/>
              </w:rPr>
              <w:t>TECHNOLOGY &amp; DIGITAL TRANSFORMATION EXECUTIVE</w:t>
            </w:r>
          </w:p>
        </w:tc>
      </w:tr>
      <w:tr>
        <w:tc>
          <w:tcPr>
            <w:tcW w:type="dxa" w:w="10469"/>
            <w:shd w:fill="EEF4F7"/>
          </w:tcPr>
          <w:p>
            <w:pPr>
              <w:spacing w:before="40" w:after="60"/>
              <w:jc w:val="center"/>
            </w:pPr>
            <w:r>
              <w:rPr>
                <w:rFonts w:ascii="Arial" w:hAnsi="Arial"/>
                <w:b/>
                <w:i w:val="0"/>
                <w:color w:val="147D7A"/>
                <w:sz w:val="19"/>
              </w:rPr>
              <w:t>CIO / CTO / IT DIRECTOR | STRATEGY, GOVERNANCE, ENTERPRISE PLATFORMS &amp; OPERATIONS</w:t>
            </w:r>
          </w:p>
        </w:tc>
      </w:tr>
    </w:tbl>
    <w:p>
      <w:pPr>
        <w:spacing w:before="40" w:after="100"/>
        <w:jc w:val="center"/>
      </w:pPr>
      <w:r>
        <w:rPr>
          <w:rFonts w:ascii="Arial" w:hAnsi="Arial"/>
          <w:b w:val="0"/>
          <w:i w:val="0"/>
          <w:color w:val="243746"/>
          <w:sz w:val="17"/>
        </w:rPr>
        <w:t xml:space="preserve">+20 122 015 6077  |  ma7moud.salamaaa@gmail.com  |  Cairo, Egypt  |  </w:t>
      </w:r>
      <w:hyperlink r:id="rId11">
        <w:r>
          <w:rPr>
            <w:color w:val="0AA6B4"/>
            <w:rFonts w:ascii="Arial" w:hAnsi="Arial"/>
            <w:sz w:val="18"/>
          </w:rPr>
          <w:t>LinkedIn</w:t>
        </w:r>
      </w:hyperlink>
      <w:r>
        <w:rPr>
          <w:rFonts w:ascii="Arial" w:hAnsi="Arial"/>
          <w:b w:val="0"/>
          <w:i w:val="0"/>
          <w:color w:val="243746"/>
          <w:sz w:val="17"/>
        </w:rPr>
        <w:t xml:space="preserve">  |  </w:t>
      </w:r>
      <w:hyperlink r:id="rId12">
        <w:r>
          <w:rPr>
            <w:color w:val="0AA6B4"/>
            <w:rFonts w:ascii="Arial" w:hAnsi="Arial"/>
            <w:sz w:val="18"/>
          </w:rPr>
          <w:t>Website</w:t>
        </w:r>
      </w:hyperlink>
    </w:p>
    <w:p>
      <w:pPr>
        <w:spacing w:after="80"/>
        <w:jc w:val="center"/>
      </w:pPr>
      <w:r>
        <w:rPr>
          <w:rFonts w:ascii="Arial" w:hAnsi="Arial"/>
          <w:b/>
          <w:i w:val="0"/>
          <w:color w:val="C9A227"/>
          <w:sz w:val="16"/>
        </w:rPr>
        <w:t>Available within one month | Open to Egypt, GCC, Africa &amp; Remote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"/>
        <w:gridCol w:w="9936"/>
      </w:tblGrid>
      <w:tr>
        <w:tc>
          <w:tcPr>
            <w:tcW w:type="dxa" w:w="5234"/>
            <w:shd w:fill="C9A227"/>
          </w:tcPr>
          <w:p/>
        </w:tc>
        <w:tc>
          <w:tcPr>
            <w:tcW w:type="dxa" w:w="5234"/>
            <w:shd w:fill="0A2239"/>
          </w:tcPr>
          <w:p>
            <w:pPr>
              <w:spacing w:before="30" w:after="30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EXECUTIVE PROFILE</w:t>
            </w:r>
          </w:p>
        </w:tc>
      </w:tr>
    </w:tbl>
    <w:p>
      <w:pPr>
        <w:spacing w:before="0" w:after="80" w:line="247" w:lineRule="auto"/>
      </w:pPr>
      <w:r>
        <w:rPr>
          <w:rFonts w:ascii="Arial" w:hAnsi="Arial"/>
          <w:b w:val="0"/>
          <w:i w:val="0"/>
          <w:color w:val="243746"/>
          <w:sz w:val="18"/>
        </w:rPr>
        <w:t>Senior technology executive with 18+ years of experience leading technology strategy, enterprise platforms, information systems, architecture, software delivery, data, integration, governance, and operational resilience across Egypt and the GCC. Brings a rare combination of executive portfolio leadership and hands-on engineering depth, connecting investment decisions and operating priorities to secure delivery, adoption, and measurable service outcomes.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90"/>
        <w:gridCol w:w="3490"/>
        <w:gridCol w:w="3490"/>
      </w:tblGrid>
      <w:tr>
        <w:tc>
          <w:tcPr>
            <w:tcW w:type="dxa" w:w="3490"/>
            <w:shd w:fill="EEF4F7"/>
            <w:tcBorders>
              <w:top w:val="single" w:sz="5" w:color="D9E2E8"/>
              <w:left w:val="single" w:sz="5" w:color="D9E2E8"/>
              <w:bottom w:val="single" w:sz="5" w:color="D9E2E8"/>
              <w:right w:val="single" w:sz="5" w:color="D9E2E8"/>
            </w:tcBorders>
          </w:tcPr>
          <w:p>
            <w:pPr>
              <w:spacing w:before="40" w:after="0"/>
              <w:jc w:val="center"/>
            </w:pPr>
            <w:r>
              <w:rPr>
                <w:rFonts w:ascii="Arial" w:hAnsi="Arial"/>
                <w:b/>
                <w:i w:val="0"/>
                <w:color w:val="0A2239"/>
                <w:sz w:val="22"/>
              </w:rPr>
              <w:t>EGP</w:t>
            </w:r>
          </w:p>
          <w:p>
            <w:pPr>
              <w:spacing w:after="40"/>
              <w:jc w:val="center"/>
            </w:pPr>
            <w:r>
              <w:rPr>
                <w:rFonts w:ascii="Arial" w:hAnsi="Arial"/>
                <w:b w:val="0"/>
                <w:i w:val="0"/>
                <w:color w:val="5D6B78"/>
                <w:sz w:val="15"/>
              </w:rPr>
              <w:t>150M+ technology portfolio</w:t>
            </w:r>
          </w:p>
        </w:tc>
        <w:tc>
          <w:tcPr>
            <w:tcW w:type="dxa" w:w="3490"/>
            <w:shd w:fill="EEF4F7"/>
            <w:tcBorders>
              <w:top w:val="single" w:sz="5" w:color="D9E2E8"/>
              <w:left w:val="single" w:sz="5" w:color="D9E2E8"/>
              <w:bottom w:val="single" w:sz="5" w:color="D9E2E8"/>
              <w:right w:val="single" w:sz="5" w:color="D9E2E8"/>
            </w:tcBorders>
          </w:tcPr>
          <w:p>
            <w:pPr>
              <w:spacing w:before="40" w:after="0"/>
              <w:jc w:val="center"/>
            </w:pPr>
            <w:r>
              <w:rPr>
                <w:rFonts w:ascii="Arial" w:hAnsi="Arial"/>
                <w:b/>
                <w:i w:val="0"/>
                <w:color w:val="0A2239"/>
                <w:sz w:val="22"/>
              </w:rPr>
              <w:t>40+</w:t>
            </w:r>
          </w:p>
          <w:p>
            <w:pPr>
              <w:spacing w:after="40"/>
              <w:jc w:val="center"/>
            </w:pPr>
            <w:r>
              <w:rPr>
                <w:rFonts w:ascii="Arial" w:hAnsi="Arial"/>
                <w:b w:val="0"/>
                <w:i w:val="0"/>
                <w:color w:val="5D6B78"/>
                <w:sz w:val="15"/>
              </w:rPr>
              <w:t>technology professionals led</w:t>
            </w:r>
          </w:p>
        </w:tc>
        <w:tc>
          <w:tcPr>
            <w:tcW w:type="dxa" w:w="3490"/>
            <w:shd w:fill="EEF4F7"/>
            <w:tcBorders>
              <w:top w:val="single" w:sz="5" w:color="D9E2E8"/>
              <w:left w:val="single" w:sz="5" w:color="D9E2E8"/>
              <w:bottom w:val="single" w:sz="5" w:color="D9E2E8"/>
              <w:right w:val="single" w:sz="5" w:color="D9E2E8"/>
            </w:tcBorders>
          </w:tcPr>
          <w:p>
            <w:pPr>
              <w:spacing w:before="40" w:after="0"/>
              <w:jc w:val="center"/>
            </w:pPr>
            <w:r>
              <w:rPr>
                <w:rFonts w:ascii="Arial" w:hAnsi="Arial"/>
                <w:b/>
                <w:i w:val="0"/>
                <w:color w:val="0A2239"/>
                <w:sz w:val="22"/>
              </w:rPr>
              <w:t>12,000+</w:t>
            </w:r>
          </w:p>
          <w:p>
            <w:pPr>
              <w:spacing w:after="40"/>
              <w:jc w:val="center"/>
            </w:pPr>
            <w:r>
              <w:rPr>
                <w:rFonts w:ascii="Arial" w:hAnsi="Arial"/>
                <w:b w:val="0"/>
                <w:i w:val="0"/>
                <w:color w:val="5D6B78"/>
                <w:sz w:val="15"/>
              </w:rPr>
              <w:t>public-sector entities supported</w:t>
            </w:r>
          </w:p>
        </w:tc>
      </w:tr>
      <w:tr>
        <w:tc>
          <w:tcPr>
            <w:tcW w:type="dxa" w:w="3490"/>
            <w:shd w:fill="EEF4F7"/>
            <w:tcBorders>
              <w:top w:val="single" w:sz="5" w:color="D9E2E8"/>
              <w:left w:val="single" w:sz="5" w:color="D9E2E8"/>
              <w:bottom w:val="single" w:sz="5" w:color="D9E2E8"/>
              <w:right w:val="single" w:sz="5" w:color="D9E2E8"/>
            </w:tcBorders>
          </w:tcPr>
          <w:p>
            <w:pPr>
              <w:spacing w:before="40" w:after="0"/>
              <w:jc w:val="center"/>
            </w:pPr>
            <w:r>
              <w:rPr>
                <w:rFonts w:ascii="Arial" w:hAnsi="Arial"/>
                <w:b/>
                <w:i w:val="0"/>
                <w:color w:val="0A2239"/>
                <w:sz w:val="22"/>
              </w:rPr>
              <w:t>150+</w:t>
            </w:r>
          </w:p>
          <w:p>
            <w:pPr>
              <w:spacing w:after="40"/>
              <w:jc w:val="center"/>
            </w:pPr>
            <w:r>
              <w:rPr>
                <w:rFonts w:ascii="Arial" w:hAnsi="Arial"/>
                <w:b w:val="0"/>
                <w:i w:val="0"/>
                <w:color w:val="5D6B78"/>
                <w:sz w:val="15"/>
              </w:rPr>
              <w:t>digital initiatives</w:t>
            </w:r>
          </w:p>
        </w:tc>
        <w:tc>
          <w:tcPr>
            <w:tcW w:type="dxa" w:w="3490"/>
            <w:shd w:fill="EEF4F7"/>
            <w:tcBorders>
              <w:top w:val="single" w:sz="5" w:color="D9E2E8"/>
              <w:left w:val="single" w:sz="5" w:color="D9E2E8"/>
              <w:bottom w:val="single" w:sz="5" w:color="D9E2E8"/>
              <w:right w:val="single" w:sz="5" w:color="D9E2E8"/>
            </w:tcBorders>
          </w:tcPr>
          <w:p>
            <w:pPr>
              <w:spacing w:before="40" w:after="0"/>
              <w:jc w:val="center"/>
            </w:pPr>
            <w:r>
              <w:rPr>
                <w:rFonts w:ascii="Arial" w:hAnsi="Arial"/>
                <w:b/>
                <w:i w:val="0"/>
                <w:color w:val="0A2239"/>
                <w:sz w:val="22"/>
              </w:rPr>
              <w:t>99%+</w:t>
            </w:r>
          </w:p>
          <w:p>
            <w:pPr>
              <w:spacing w:after="40"/>
              <w:jc w:val="center"/>
            </w:pPr>
            <w:r>
              <w:rPr>
                <w:rFonts w:ascii="Arial" w:hAnsi="Arial"/>
                <w:b w:val="0"/>
                <w:i w:val="0"/>
                <w:color w:val="5D6B78"/>
                <w:sz w:val="15"/>
              </w:rPr>
              <w:t>availability across critical platforms</w:t>
            </w:r>
          </w:p>
        </w:tc>
        <w:tc>
          <w:tcPr>
            <w:tcW w:type="dxa" w:w="3490"/>
            <w:shd w:fill="EEF4F7"/>
            <w:tcBorders>
              <w:top w:val="single" w:sz="5" w:color="D9E2E8"/>
              <w:left w:val="single" w:sz="5" w:color="D9E2E8"/>
              <w:bottom w:val="single" w:sz="5" w:color="D9E2E8"/>
              <w:right w:val="single" w:sz="5" w:color="D9E2E8"/>
            </w:tcBorders>
          </w:tcPr>
          <w:p>
            <w:pPr>
              <w:spacing w:before="40" w:after="0"/>
              <w:jc w:val="center"/>
            </w:pPr>
            <w:r>
              <w:rPr>
                <w:rFonts w:ascii="Arial" w:hAnsi="Arial"/>
                <w:b/>
                <w:i w:val="0"/>
                <w:color w:val="0A2239"/>
                <w:sz w:val="22"/>
              </w:rPr>
              <w:t>~70%</w:t>
            </w:r>
          </w:p>
          <w:p>
            <w:pPr>
              <w:spacing w:after="40"/>
              <w:jc w:val="center"/>
            </w:pPr>
            <w:r>
              <w:rPr>
                <w:rFonts w:ascii="Arial" w:hAnsi="Arial"/>
                <w:b w:val="0"/>
                <w:i w:val="0"/>
                <w:color w:val="5D6B78"/>
                <w:sz w:val="15"/>
              </w:rPr>
              <w:t>faster executive reporting</w:t>
            </w:r>
          </w:p>
        </w:tc>
      </w:tr>
    </w:tbl>
    <w:p>
      <w:pPr>
        <w:spacing w:before="60" w:after="80" w:line="240" w:lineRule="auto"/>
        <w:jc w:val="center"/>
      </w:pPr>
      <w:r>
        <w:rPr>
          <w:rFonts w:ascii="Arial" w:hAnsi="Arial"/>
          <w:b/>
          <w:i w:val="0"/>
          <w:color w:val="147D7A"/>
          <w:sz w:val="16"/>
        </w:rPr>
        <w:t>Executive leadership grounded in governance, architecture, accountable delivery, security, and sustainable operations.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"/>
        <w:gridCol w:w="9936"/>
      </w:tblGrid>
      <w:tr>
        <w:tc>
          <w:tcPr>
            <w:tcW w:type="dxa" w:w="5234"/>
            <w:shd w:fill="C9A227"/>
          </w:tcPr>
          <w:p/>
        </w:tc>
        <w:tc>
          <w:tcPr>
            <w:tcW w:type="dxa" w:w="5234"/>
            <w:shd w:fill="0A2239"/>
          </w:tcPr>
          <w:p>
            <w:pPr>
              <w:spacing w:before="30" w:after="30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CORE LEADERSHIP &amp; CAPABILITY AREAS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34"/>
        <w:gridCol w:w="5234"/>
      </w:tblGrid>
      <w:tr>
        <w:tc>
          <w:tcPr>
            <w:tcW w:type="dxa" w:w="5234"/>
            <w:shd w:fill="F7F9FB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</w:tcPr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0A2239"/>
                <w:sz w:val="17"/>
              </w:rPr>
              <w:t>Technology Leadership</w:t>
            </w:r>
          </w:p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243746"/>
                <w:sz w:val="15"/>
              </w:rPr>
              <w:t>Technology strategy, IT operating models, digital transformation, investment roadmaps, portfolio governance, vendor leadership, executive stakeholder management</w:t>
            </w:r>
          </w:p>
        </w:tc>
        <w:tc>
          <w:tcPr>
            <w:tcW w:type="dxa" w:w="5234"/>
            <w:shd w:fill="EEF4F7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</w:tcPr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0A2239"/>
                <w:sz w:val="17"/>
              </w:rPr>
              <w:t>Enterprise Platforms &amp; Operations</w:t>
            </w:r>
          </w:p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243746"/>
                <w:sz w:val="15"/>
              </w:rPr>
              <w:t>Enterprise applications, infrastructure governance, service continuity, release governance, backup and recovery, monitoring, access control, auditability</w:t>
            </w:r>
          </w:p>
        </w:tc>
      </w:tr>
      <w:tr>
        <w:tc>
          <w:tcPr>
            <w:tcW w:type="dxa" w:w="5234"/>
            <w:shd w:fill="F7F9FB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</w:tcPr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0A2239"/>
                <w:sz w:val="17"/>
              </w:rPr>
              <w:t>Architecture, Data &amp; Integration</w:t>
            </w:r>
          </w:p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243746"/>
                <w:sz w:val="15"/>
              </w:rPr>
              <w:t>Enterprise architecture, solution architecture, Dynamics 365 ERP/CRM integration, APIs, data platforms, analytics, modernization</w:t>
            </w:r>
          </w:p>
        </w:tc>
        <w:tc>
          <w:tcPr>
            <w:tcW w:type="dxa" w:w="5234"/>
            <w:shd w:fill="EEF4F7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</w:tcPr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0A2239"/>
                <w:sz w:val="17"/>
              </w:rPr>
              <w:t>Delivery &amp; Adoption</w:t>
            </w:r>
          </w:p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243746"/>
                <w:sz w:val="15"/>
              </w:rPr>
              <w:t>Program governance, Agile/SDLC, quality assurance, cross-functional delivery, change management, training, knowledge transfer, benefits realization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"/>
        <w:gridCol w:w="9936"/>
      </w:tblGrid>
      <w:tr>
        <w:tc>
          <w:tcPr>
            <w:tcW w:type="dxa" w:w="5234"/>
            <w:shd w:fill="C9A227"/>
          </w:tcPr>
          <w:p/>
        </w:tc>
        <w:tc>
          <w:tcPr>
            <w:tcW w:type="dxa" w:w="5234"/>
            <w:shd w:fill="0A2239"/>
          </w:tcPr>
          <w:p>
            <w:pPr>
              <w:spacing w:before="30" w:after="30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PROFESSIONAL EXPERIENCE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848"/>
        <w:gridCol w:w="2232"/>
      </w:tblGrid>
      <w:tr>
        <w:tc>
          <w:tcPr>
            <w:tcW w:type="dxa" w:w="5234"/>
            <w:tcBorders>
              <w:bottom w:val="nil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0A2239"/>
                <w:sz w:val="18"/>
              </w:rPr>
              <w:t>Head of Central Administration - Information Systems &amp; Digital Transformation</w:t>
            </w:r>
          </w:p>
        </w:tc>
        <w:tc>
          <w:tcPr>
            <w:tcW w:type="dxa" w:w="5234"/>
            <w:tcBorders>
              <w:bottom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i w:val="0"/>
                <w:color w:val="C9A227"/>
                <w:sz w:val="15"/>
              </w:rPr>
              <w:t>May 2025 - Present</w:t>
            </w:r>
          </w:p>
        </w:tc>
      </w:tr>
      <w:tr>
        <w:tc>
          <w:tcPr>
            <w:tcW w:type="dxa" w:w="5234"/>
            <w:tcBorders>
              <w:bottom w:val="nil"/>
            </w:tcBorders>
          </w:tcPr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147D7A"/>
                <w:sz w:val="16"/>
              </w:rPr>
              <w:t>Egyptian Authority for Unified Procurement, Medical Supply &amp; Medical Technology (UPA) | Cairo, Egypt</w:t>
            </w:r>
          </w:p>
          <w:p>
            <w:pPr>
              <w:spacing w:after="20"/>
            </w:pPr>
            <w:r>
              <w:rPr>
                <w:rFonts w:ascii="Arial" w:hAnsi="Arial"/>
                <w:b w:val="0"/>
                <w:i/>
                <w:color w:val="5D6B78"/>
                <w:sz w:val="14"/>
              </w:rPr>
              <w:t>Market positioning: Technology &amp; Digital Transformation Executive | Enterprise Architect</w:t>
            </w:r>
          </w:p>
        </w:tc>
        <w:tc>
          <w:tcPr>
            <w:tcW w:type="dxa" w:w="5234"/>
            <w:tcBorders>
              <w:bottom w:val="nil"/>
            </w:tcBorders>
          </w:tcPr>
          <w:p/>
        </w:tc>
      </w:tr>
    </w:tbl>
    <w:p>
      <w:pPr>
        <w:spacing w:after="22" w:line="240" w:lineRule="auto"/>
        <w:ind w:left="230" w:hanging="173"/>
      </w:pPr>
      <w:r>
        <w:rPr>
          <w:rFonts w:ascii="Arial" w:hAnsi="Arial"/>
          <w:b/>
          <w:i w:val="0"/>
          <w:color w:val="0AA6B4"/>
          <w:sz w:val="16"/>
        </w:rPr>
        <w:t xml:space="preserve">• </w:t>
      </w:r>
      <w:r>
        <w:rPr>
          <w:rFonts w:ascii="Arial" w:hAnsi="Arial"/>
          <w:b w:val="0"/>
          <w:i w:val="0"/>
          <w:color w:val="243746"/>
          <w:sz w:val="16"/>
        </w:rPr>
        <w:t>Lead enterprise technology strategy and transformation across procurement, warehousing, inventory, demand planning, enterprise data, analytics, and government operations.</w:t>
      </w:r>
    </w:p>
    <w:p>
      <w:pPr>
        <w:spacing w:after="22" w:line="240" w:lineRule="auto"/>
        <w:ind w:left="230" w:hanging="173"/>
      </w:pPr>
      <w:r>
        <w:rPr>
          <w:rFonts w:ascii="Arial" w:hAnsi="Arial"/>
          <w:b/>
          <w:i w:val="0"/>
          <w:color w:val="0AA6B4"/>
          <w:sz w:val="16"/>
        </w:rPr>
        <w:t xml:space="preserve">• </w:t>
      </w:r>
      <w:r>
        <w:rPr>
          <w:rFonts w:ascii="Arial" w:hAnsi="Arial"/>
          <w:b w:val="0"/>
          <w:i w:val="0"/>
          <w:color w:val="243746"/>
          <w:sz w:val="16"/>
        </w:rPr>
        <w:t>Direct enterprise applications, data platforms, systems integration, analytics, technology infrastructure, vendor relationships, and service governance across a major government technology portfolio.</w:t>
      </w:r>
    </w:p>
    <w:p>
      <w:pPr>
        <w:spacing w:after="22" w:line="240" w:lineRule="auto"/>
        <w:ind w:left="230" w:hanging="173"/>
      </w:pPr>
      <w:r>
        <w:rPr>
          <w:rFonts w:ascii="Arial" w:hAnsi="Arial"/>
          <w:b/>
          <w:i w:val="0"/>
          <w:color w:val="0AA6B4"/>
          <w:sz w:val="16"/>
        </w:rPr>
        <w:t xml:space="preserve">• </w:t>
      </w:r>
      <w:r>
        <w:rPr>
          <w:rFonts w:ascii="Arial" w:hAnsi="Arial"/>
          <w:b w:val="0"/>
          <w:i w:val="0"/>
          <w:color w:val="243746"/>
          <w:sz w:val="16"/>
        </w:rPr>
        <w:t>Govern enterprise and solution architecture, platform modernization, integration standards, data governance, security controls, resilience, and long-term technology roadmaps.</w:t>
      </w:r>
    </w:p>
    <w:p>
      <w:pPr>
        <w:spacing w:after="22" w:line="240" w:lineRule="auto"/>
        <w:ind w:left="230" w:hanging="173"/>
      </w:pPr>
      <w:r>
        <w:rPr>
          <w:rFonts w:ascii="Arial" w:hAnsi="Arial"/>
          <w:b/>
          <w:i w:val="0"/>
          <w:color w:val="0AA6B4"/>
          <w:sz w:val="16"/>
        </w:rPr>
        <w:t xml:space="preserve">• </w:t>
      </w:r>
      <w:r>
        <w:rPr>
          <w:rFonts w:ascii="Arial" w:hAnsi="Arial"/>
          <w:b w:val="0"/>
          <w:i w:val="0"/>
          <w:color w:val="243746"/>
          <w:sz w:val="16"/>
        </w:rPr>
        <w:t>Oversee integrations connecting operational and procurement platforms with Microsoft Dynamics 365 ERP and CRM, the National Health Sector Data Warehouse, and enterprise analytics platforms.</w:t>
      </w:r>
    </w:p>
    <w:p>
      <w:pPr>
        <w:spacing w:after="22" w:line="240" w:lineRule="auto"/>
        <w:ind w:left="230" w:hanging="173"/>
      </w:pPr>
      <w:r>
        <w:rPr>
          <w:rFonts w:ascii="Arial" w:hAnsi="Arial"/>
          <w:b/>
          <w:i w:val="0"/>
          <w:color w:val="0AA6B4"/>
          <w:sz w:val="16"/>
        </w:rPr>
        <w:t xml:space="preserve">• </w:t>
      </w:r>
      <w:r>
        <w:rPr>
          <w:rFonts w:ascii="Arial" w:hAnsi="Arial"/>
          <w:b w:val="0"/>
          <w:i w:val="0"/>
          <w:color w:val="243746"/>
          <w:sz w:val="16"/>
        </w:rPr>
        <w:t>Lead multidisciplinary teams of developers, analysts, architects, support professionals, vendors, and implementation partners.</w:t>
      </w:r>
    </w:p>
    <w:p>
      <w:pPr>
        <w:spacing w:after="22" w:line="240" w:lineRule="auto"/>
        <w:ind w:left="230" w:hanging="173"/>
      </w:pPr>
      <w:r>
        <w:rPr>
          <w:rFonts w:ascii="Arial" w:hAnsi="Arial"/>
          <w:b/>
          <w:i w:val="0"/>
          <w:color w:val="0AA6B4"/>
          <w:sz w:val="16"/>
        </w:rPr>
        <w:t xml:space="preserve">• </w:t>
      </w:r>
      <w:r>
        <w:rPr>
          <w:rFonts w:ascii="Arial" w:hAnsi="Arial"/>
          <w:b w:val="0"/>
          <w:i w:val="0"/>
          <w:color w:val="243746"/>
          <w:sz w:val="16"/>
        </w:rPr>
        <w:t>Establish delivery quality, access control, backup and recovery, auditability, release governance, and service standards across critical platforms supporting more than 100 government institutions.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848"/>
        <w:gridCol w:w="2232"/>
      </w:tblGrid>
      <w:tr>
        <w:tc>
          <w:tcPr>
            <w:tcW w:type="dxa" w:w="5234"/>
            <w:tcBorders>
              <w:bottom w:val="nil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0A2239"/>
                <w:sz w:val="18"/>
              </w:rPr>
              <w:t>General Manager - Systems, Applications &amp; Technical Support</w:t>
            </w:r>
          </w:p>
        </w:tc>
        <w:tc>
          <w:tcPr>
            <w:tcW w:type="dxa" w:w="5234"/>
            <w:tcBorders>
              <w:bottom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i w:val="0"/>
                <w:color w:val="C9A227"/>
                <w:sz w:val="15"/>
              </w:rPr>
              <w:t>Oct 2020 - May 2025</w:t>
            </w:r>
          </w:p>
        </w:tc>
      </w:tr>
      <w:tr>
        <w:tc>
          <w:tcPr>
            <w:tcW w:type="dxa" w:w="5234"/>
            <w:tcBorders>
              <w:bottom w:val="nil"/>
            </w:tcBorders>
          </w:tcPr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147D7A"/>
                <w:sz w:val="16"/>
              </w:rPr>
              <w:t>Egyptian Authority for Unified Procurement (UPA) | Cairo, Egypt</w:t>
            </w:r>
          </w:p>
        </w:tc>
        <w:tc>
          <w:tcPr>
            <w:tcW w:type="dxa" w:w="5234"/>
            <w:tcBorders>
              <w:bottom w:val="nil"/>
            </w:tcBorders>
          </w:tcPr>
          <w:p/>
        </w:tc>
      </w:tr>
    </w:tbl>
    <w:p>
      <w:pPr>
        <w:spacing w:after="22" w:line="240" w:lineRule="auto"/>
        <w:ind w:left="230" w:hanging="173"/>
      </w:pPr>
      <w:r>
        <w:rPr>
          <w:rFonts w:ascii="Arial" w:hAnsi="Arial"/>
          <w:b/>
          <w:i w:val="0"/>
          <w:color w:val="0AA6B4"/>
          <w:sz w:val="16"/>
        </w:rPr>
        <w:t xml:space="preserve">• </w:t>
      </w:r>
      <w:r>
        <w:rPr>
          <w:rFonts w:ascii="Arial" w:hAnsi="Arial"/>
          <w:b w:val="0"/>
          <w:i w:val="0"/>
          <w:color w:val="243746"/>
          <w:sz w:val="16"/>
        </w:rPr>
        <w:t>Directed implementation, modernization, maintenance, and high-availability support for procurement, medical supply, inventory, reporting, and stakeholder platforms.</w:t>
      </w:r>
    </w:p>
    <w:p>
      <w:pPr>
        <w:spacing w:after="22" w:line="240" w:lineRule="auto"/>
        <w:ind w:left="230" w:hanging="173"/>
      </w:pPr>
      <w:r>
        <w:rPr>
          <w:rFonts w:ascii="Arial" w:hAnsi="Arial"/>
          <w:b/>
          <w:i w:val="0"/>
          <w:color w:val="0AA6B4"/>
          <w:sz w:val="16"/>
        </w:rPr>
        <w:t xml:space="preserve">• </w:t>
      </w:r>
      <w:r>
        <w:rPr>
          <w:rFonts w:ascii="Arial" w:hAnsi="Arial"/>
          <w:b w:val="0"/>
          <w:i w:val="0"/>
          <w:color w:val="243746"/>
          <w:sz w:val="16"/>
        </w:rPr>
        <w:t>Approximately tripled departmental delivery capacity through OKR-based performance management, mentoring, technical enablement, and standardized delivery processes.</w:t>
      </w:r>
    </w:p>
    <w:p>
      <w:pPr>
        <w:spacing w:after="22" w:line="240" w:lineRule="auto"/>
        <w:ind w:left="230" w:hanging="173"/>
      </w:pPr>
      <w:r>
        <w:rPr>
          <w:rFonts w:ascii="Arial" w:hAnsi="Arial"/>
          <w:b/>
          <w:i w:val="0"/>
          <w:color w:val="0AA6B4"/>
          <w:sz w:val="16"/>
        </w:rPr>
        <w:t xml:space="preserve">• </w:t>
      </w:r>
      <w:r>
        <w:rPr>
          <w:rFonts w:ascii="Arial" w:hAnsi="Arial"/>
          <w:b w:val="0"/>
          <w:i w:val="0"/>
          <w:color w:val="243746"/>
          <w:sz w:val="16"/>
        </w:rPr>
        <w:t>Improved release quality and deployment consistency through QA standards, code review, release governance, technical documentation, and structured development procedures.</w:t>
      </w:r>
    </w:p>
    <w:p>
      <w:pPr>
        <w:spacing w:after="22" w:line="240" w:lineRule="auto"/>
        <w:ind w:left="230" w:hanging="173"/>
      </w:pPr>
      <w:r>
        <w:rPr>
          <w:rFonts w:ascii="Arial" w:hAnsi="Arial"/>
          <w:b/>
          <w:i w:val="0"/>
          <w:color w:val="0AA6B4"/>
          <w:sz w:val="16"/>
        </w:rPr>
        <w:t xml:space="preserve">• </w:t>
      </w:r>
      <w:r>
        <w:rPr>
          <w:rFonts w:ascii="Arial" w:hAnsi="Arial"/>
          <w:b w:val="0"/>
          <w:i w:val="0"/>
          <w:color w:val="243746"/>
          <w:sz w:val="16"/>
        </w:rPr>
        <w:t>Governed multi-agency technology coordination for Egypt's National Pharmaceutical Track &amp; Trace Program and supported ministerial oversight of national blood-supply operations.</w:t>
      </w:r>
    </w:p>
    <w:p>
      <w:pPr>
        <w:spacing w:after="22" w:line="240" w:lineRule="auto"/>
        <w:ind w:left="230" w:hanging="173"/>
      </w:pPr>
      <w:r>
        <w:rPr>
          <w:rFonts w:ascii="Arial" w:hAnsi="Arial"/>
          <w:b/>
          <w:i w:val="0"/>
          <w:color w:val="0AA6B4"/>
          <w:sz w:val="16"/>
        </w:rPr>
        <w:t xml:space="preserve">• </w:t>
      </w:r>
      <w:r>
        <w:rPr>
          <w:rFonts w:ascii="Arial" w:hAnsi="Arial"/>
          <w:b w:val="0"/>
          <w:i w:val="0"/>
          <w:color w:val="243746"/>
          <w:sz w:val="16"/>
        </w:rPr>
        <w:t>Championed nationwide digital adoption, technical support, and upskilling initiatives across the public-sector procurement and medical-supply network.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"/>
        <w:gridCol w:w="9936"/>
      </w:tblGrid>
      <w:tr>
        <w:tc>
          <w:tcPr>
            <w:tcW w:type="dxa" w:w="5234"/>
            <w:shd w:fill="C9A227"/>
          </w:tcPr>
          <w:p/>
        </w:tc>
        <w:tc>
          <w:tcPr>
            <w:tcW w:type="dxa" w:w="5234"/>
            <w:shd w:fill="0A2239"/>
          </w:tcPr>
          <w:p>
            <w:pPr>
              <w:spacing w:before="30" w:after="30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PROFESSIONAL EXPERIENCE - CONTINUED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848"/>
        <w:gridCol w:w="2232"/>
      </w:tblGrid>
      <w:tr>
        <w:tc>
          <w:tcPr>
            <w:tcW w:type="dxa" w:w="5234"/>
            <w:tcBorders>
              <w:bottom w:val="nil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0A2239"/>
                <w:sz w:val="18"/>
              </w:rPr>
              <w:t>Development Team Leader &amp; Senior Full-Stack Developer</w:t>
            </w:r>
          </w:p>
        </w:tc>
        <w:tc>
          <w:tcPr>
            <w:tcW w:type="dxa" w:w="5234"/>
            <w:tcBorders>
              <w:bottom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i w:val="0"/>
                <w:color w:val="C9A227"/>
                <w:sz w:val="15"/>
              </w:rPr>
              <w:t>May 2016 - Oct 2020</w:t>
            </w:r>
          </w:p>
        </w:tc>
      </w:tr>
      <w:tr>
        <w:tc>
          <w:tcPr>
            <w:tcW w:type="dxa" w:w="5234"/>
            <w:tcBorders>
              <w:bottom w:val="nil"/>
            </w:tcBorders>
          </w:tcPr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147D7A"/>
                <w:sz w:val="16"/>
              </w:rPr>
              <w:t>Integral Solutions LLC | Muscat, Oman</w:t>
            </w:r>
          </w:p>
        </w:tc>
        <w:tc>
          <w:tcPr>
            <w:tcW w:type="dxa" w:w="5234"/>
            <w:tcBorders>
              <w:bottom w:val="nil"/>
            </w:tcBorders>
          </w:tcPr>
          <w:p/>
        </w:tc>
      </w:tr>
    </w:tbl>
    <w:p>
      <w:pPr>
        <w:spacing w:after="22" w:line="240" w:lineRule="auto"/>
        <w:ind w:left="230" w:hanging="173"/>
      </w:pPr>
      <w:r>
        <w:rPr>
          <w:rFonts w:ascii="Arial" w:hAnsi="Arial"/>
          <w:b/>
          <w:i w:val="0"/>
          <w:color w:val="0AA6B4"/>
          <w:sz w:val="16"/>
        </w:rPr>
        <w:t xml:space="preserve">• </w:t>
      </w:r>
      <w:r>
        <w:rPr>
          <w:rFonts w:ascii="Arial" w:hAnsi="Arial"/>
          <w:b w:val="0"/>
          <w:i w:val="0"/>
          <w:color w:val="243746"/>
          <w:sz w:val="16"/>
        </w:rPr>
        <w:t>Led cross-border engineering teams of 10+ developers and delivered 15+ full-cycle enterprise platforms for government, healthcare, education, and corporate clients across Oman and the GCC.</w:t>
      </w:r>
    </w:p>
    <w:p>
      <w:pPr>
        <w:spacing w:after="22" w:line="240" w:lineRule="auto"/>
        <w:ind w:left="230" w:hanging="173"/>
      </w:pPr>
      <w:r>
        <w:rPr>
          <w:rFonts w:ascii="Arial" w:hAnsi="Arial"/>
          <w:b/>
          <w:i w:val="0"/>
          <w:color w:val="0AA6B4"/>
          <w:sz w:val="16"/>
        </w:rPr>
        <w:t xml:space="preserve">• </w:t>
      </w:r>
      <w:r>
        <w:rPr>
          <w:rFonts w:ascii="Arial" w:hAnsi="Arial"/>
          <w:b w:val="0"/>
          <w:i w:val="0"/>
          <w:color w:val="243746"/>
          <w:sz w:val="16"/>
        </w:rPr>
        <w:t>Delivered the Oman National Educational Portal, supporting e-learning, content management, academic records, administration, and performance tracking.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848"/>
        <w:gridCol w:w="2232"/>
      </w:tblGrid>
      <w:tr>
        <w:tc>
          <w:tcPr>
            <w:tcW w:type="dxa" w:w="5234"/>
            <w:tcBorders>
              <w:bottom w:val="nil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0A2239"/>
                <w:sz w:val="18"/>
              </w:rPr>
              <w:t>Development Team Leader &amp; Senior Full-Stack Developer</w:t>
            </w:r>
          </w:p>
        </w:tc>
        <w:tc>
          <w:tcPr>
            <w:tcW w:type="dxa" w:w="5234"/>
            <w:tcBorders>
              <w:bottom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i w:val="0"/>
                <w:color w:val="C9A227"/>
                <w:sz w:val="15"/>
              </w:rPr>
              <w:t>Apr 2011 - May 2016</w:t>
            </w:r>
          </w:p>
        </w:tc>
      </w:tr>
      <w:tr>
        <w:tc>
          <w:tcPr>
            <w:tcW w:type="dxa" w:w="5234"/>
            <w:tcBorders>
              <w:bottom w:val="nil"/>
            </w:tcBorders>
          </w:tcPr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147D7A"/>
                <w:sz w:val="16"/>
              </w:rPr>
              <w:t>Keyframe Egypt | Cairo, Egypt</w:t>
            </w:r>
          </w:p>
        </w:tc>
        <w:tc>
          <w:tcPr>
            <w:tcW w:type="dxa" w:w="5234"/>
            <w:tcBorders>
              <w:bottom w:val="nil"/>
            </w:tcBorders>
          </w:tcPr>
          <w:p/>
        </w:tc>
      </w:tr>
    </w:tbl>
    <w:p>
      <w:pPr>
        <w:spacing w:after="22" w:line="240" w:lineRule="auto"/>
        <w:ind w:left="230" w:hanging="173"/>
      </w:pPr>
      <w:r>
        <w:rPr>
          <w:rFonts w:ascii="Arial" w:hAnsi="Arial"/>
          <w:b/>
          <w:i w:val="0"/>
          <w:color w:val="0AA6B4"/>
          <w:sz w:val="16"/>
        </w:rPr>
        <w:t xml:space="preserve">• </w:t>
      </w:r>
      <w:r>
        <w:rPr>
          <w:rFonts w:ascii="Arial" w:hAnsi="Arial"/>
          <w:b w:val="0"/>
          <w:i w:val="0"/>
          <w:color w:val="243746"/>
          <w:sz w:val="16"/>
        </w:rPr>
        <w:t>Delivered 100+ public portals, enterprise applications, corporate websites, and digital service platforms across government, healthcare, education, construction, automotive, events, and commercial sectors.</w:t>
      </w:r>
    </w:p>
    <w:p>
      <w:pPr>
        <w:spacing w:after="22" w:line="240" w:lineRule="auto"/>
        <w:ind w:left="230" w:hanging="173"/>
      </w:pPr>
      <w:r>
        <w:rPr>
          <w:rFonts w:ascii="Arial" w:hAnsi="Arial"/>
          <w:b/>
          <w:i w:val="0"/>
          <w:color w:val="0AA6B4"/>
          <w:sz w:val="16"/>
        </w:rPr>
        <w:t xml:space="preserve">• </w:t>
      </w:r>
      <w:r>
        <w:rPr>
          <w:rFonts w:ascii="Arial" w:hAnsi="Arial"/>
          <w:b w:val="0"/>
          <w:i w:val="0"/>
          <w:color w:val="243746"/>
          <w:sz w:val="16"/>
        </w:rPr>
        <w:t>Directed portal delivery for Egypt's Ministry of Health, Oman's Ministry of Agriculture, and other public and corporate organizations.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848"/>
        <w:gridCol w:w="2232"/>
      </w:tblGrid>
      <w:tr>
        <w:tc>
          <w:tcPr>
            <w:tcW w:type="dxa" w:w="5234"/>
            <w:tcBorders>
              <w:bottom w:val="nil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0A2239"/>
                <w:sz w:val="18"/>
              </w:rPr>
              <w:t>Linux Systems &amp; Web Developer</w:t>
            </w:r>
          </w:p>
        </w:tc>
        <w:tc>
          <w:tcPr>
            <w:tcW w:type="dxa" w:w="5234"/>
            <w:tcBorders>
              <w:bottom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i w:val="0"/>
                <w:color w:val="C9A227"/>
                <w:sz w:val="15"/>
              </w:rPr>
              <w:t>Apr 2008 - Oct 2010</w:t>
            </w:r>
          </w:p>
        </w:tc>
      </w:tr>
      <w:tr>
        <w:tc>
          <w:tcPr>
            <w:tcW w:type="dxa" w:w="5234"/>
            <w:tcBorders>
              <w:bottom w:val="nil"/>
            </w:tcBorders>
          </w:tcPr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147D7A"/>
                <w:sz w:val="16"/>
              </w:rPr>
              <w:t>Egyptian Armed Forces | Egypt</w:t>
            </w:r>
          </w:p>
        </w:tc>
        <w:tc>
          <w:tcPr>
            <w:tcW w:type="dxa" w:w="5234"/>
            <w:tcBorders>
              <w:bottom w:val="nil"/>
            </w:tcBorders>
          </w:tcPr>
          <w:p/>
        </w:tc>
      </w:tr>
    </w:tbl>
    <w:p>
      <w:pPr>
        <w:spacing w:after="22" w:line="240" w:lineRule="auto"/>
        <w:ind w:left="230" w:hanging="173"/>
      </w:pPr>
      <w:r>
        <w:rPr>
          <w:rFonts w:ascii="Arial" w:hAnsi="Arial"/>
          <w:b/>
          <w:i w:val="0"/>
          <w:color w:val="0AA6B4"/>
          <w:sz w:val="16"/>
        </w:rPr>
        <w:t xml:space="preserve">• </w:t>
      </w:r>
      <w:r>
        <w:rPr>
          <w:rFonts w:ascii="Arial" w:hAnsi="Arial"/>
          <w:b w:val="0"/>
          <w:i w:val="0"/>
          <w:color w:val="243746"/>
          <w:sz w:val="16"/>
        </w:rPr>
        <w:t>Developed and customized Linux-based systems within a restricted defense environment, including Linux from Scratch builds, kernel modules, system optimization, and hardened platform configurations.</w:t>
      </w:r>
    </w:p>
    <w:p>
      <w:pPr>
        <w:spacing w:after="22" w:line="240" w:lineRule="auto"/>
        <w:ind w:left="230" w:hanging="173"/>
      </w:pPr>
      <w:r>
        <w:rPr>
          <w:rFonts w:ascii="Arial" w:hAnsi="Arial"/>
          <w:b/>
          <w:i w:val="0"/>
          <w:color w:val="0AA6B4"/>
          <w:sz w:val="16"/>
        </w:rPr>
        <w:t xml:space="preserve">• </w:t>
      </w:r>
      <w:r>
        <w:rPr>
          <w:rFonts w:ascii="Arial" w:hAnsi="Arial"/>
          <w:b w:val="0"/>
          <w:i w:val="0"/>
          <w:color w:val="243746"/>
          <w:sz w:val="16"/>
        </w:rPr>
        <w:t>Built secure internal web applications using ASP.NET and SQL Server, maintaining strong security, code integrity, and operational reliability.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"/>
        <w:gridCol w:w="9936"/>
      </w:tblGrid>
      <w:tr>
        <w:tc>
          <w:tcPr>
            <w:tcW w:type="dxa" w:w="5234"/>
            <w:shd w:fill="C9A227"/>
          </w:tcPr>
          <w:p/>
        </w:tc>
        <w:tc>
          <w:tcPr>
            <w:tcW w:type="dxa" w:w="5234"/>
            <w:shd w:fill="0A2239"/>
          </w:tcPr>
          <w:p>
            <w:pPr>
              <w:spacing w:before="30" w:after="30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LEADERSHIP APPOINTMENTS &amp; PROFESSIONAL CONTRIBUTIONS</w:t>
            </w:r>
          </w:p>
        </w:tc>
      </w:tr>
    </w:tbl>
    <w:p>
      <w:pPr>
        <w:spacing w:after="26" w:line="240" w:lineRule="auto"/>
        <w:ind w:left="230" w:hanging="173"/>
      </w:pPr>
      <w:r>
        <w:rPr>
          <w:rFonts w:ascii="Arial" w:hAnsi="Arial"/>
          <w:b/>
          <w:i w:val="0"/>
          <w:color w:val="0AA6B4"/>
          <w:sz w:val="16"/>
        </w:rPr>
        <w:t xml:space="preserve">• </w:t>
      </w:r>
      <w:r>
        <w:rPr>
          <w:rFonts w:ascii="Arial" w:hAnsi="Arial"/>
          <w:b w:val="0"/>
          <w:i w:val="0"/>
          <w:color w:val="243746"/>
          <w:sz w:val="16"/>
        </w:rPr>
        <w:t>Digital Transformation Committee Member - World Bank Group B-READY Egypt Assessment (2025-2026).</w:t>
      </w:r>
    </w:p>
    <w:p>
      <w:pPr>
        <w:spacing w:after="26" w:line="240" w:lineRule="auto"/>
        <w:ind w:left="230" w:hanging="173"/>
      </w:pPr>
      <w:r>
        <w:rPr>
          <w:rFonts w:ascii="Arial" w:hAnsi="Arial"/>
          <w:b/>
          <w:i w:val="0"/>
          <w:color w:val="0AA6B4"/>
          <w:sz w:val="16"/>
        </w:rPr>
        <w:t xml:space="preserve">• </w:t>
      </w:r>
      <w:r>
        <w:rPr>
          <w:rFonts w:ascii="Arial" w:hAnsi="Arial"/>
          <w:b w:val="0"/>
          <w:i w:val="0"/>
          <w:color w:val="243746"/>
          <w:sz w:val="16"/>
        </w:rPr>
        <w:t>Board Member - National Blood Operations Oversight, appointed by Egypt's Minister of Health (2021-2024).</w:t>
      </w:r>
    </w:p>
    <w:p>
      <w:pPr>
        <w:spacing w:after="26" w:line="240" w:lineRule="auto"/>
        <w:ind w:left="230" w:hanging="173"/>
      </w:pPr>
      <w:r>
        <w:rPr>
          <w:rFonts w:ascii="Arial" w:hAnsi="Arial"/>
          <w:b/>
          <w:i w:val="0"/>
          <w:color w:val="0AA6B4"/>
          <w:sz w:val="16"/>
        </w:rPr>
        <w:t xml:space="preserve">• </w:t>
      </w:r>
      <w:r>
        <w:rPr>
          <w:rFonts w:ascii="Arial" w:hAnsi="Arial"/>
          <w:b w:val="0"/>
          <w:i w:val="0"/>
          <w:color w:val="243746"/>
          <w:sz w:val="16"/>
        </w:rPr>
        <w:t>Governance Lead - National Pharmaceutical Track &amp; Trace Program, UPA / EDA / Ministry of Health (2021-2024).</w:t>
      </w:r>
    </w:p>
    <w:p>
      <w:pPr>
        <w:spacing w:after="26" w:line="240" w:lineRule="auto"/>
        <w:ind w:left="230" w:hanging="173"/>
      </w:pPr>
      <w:r>
        <w:rPr>
          <w:rFonts w:ascii="Arial" w:hAnsi="Arial"/>
          <w:b/>
          <w:i w:val="0"/>
          <w:color w:val="0AA6B4"/>
          <w:sz w:val="16"/>
        </w:rPr>
        <w:t xml:space="preserve">• </w:t>
      </w:r>
      <w:r>
        <w:rPr>
          <w:rFonts w:ascii="Arial" w:hAnsi="Arial"/>
          <w:b w:val="0"/>
          <w:i w:val="0"/>
          <w:color w:val="243746"/>
          <w:sz w:val="16"/>
        </w:rPr>
        <w:t>International Speaker - Bioinformatics &amp; Digital Health, Manama Health Congress &amp; Expo, Bahrain (2022).</w:t>
      </w:r>
    </w:p>
    <w:p>
      <w:pPr>
        <w:spacing w:after="26" w:line="240" w:lineRule="auto"/>
        <w:ind w:left="230" w:hanging="173"/>
      </w:pPr>
      <w:r>
        <w:rPr>
          <w:rFonts w:ascii="Arial" w:hAnsi="Arial"/>
          <w:b/>
          <w:i w:val="0"/>
          <w:color w:val="0AA6B4"/>
          <w:sz w:val="16"/>
        </w:rPr>
        <w:t xml:space="preserve">• </w:t>
      </w:r>
      <w:r>
        <w:rPr>
          <w:rFonts w:ascii="Arial" w:hAnsi="Arial"/>
          <w:b w:val="0"/>
          <w:i w:val="0"/>
          <w:color w:val="243746"/>
          <w:sz w:val="16"/>
        </w:rPr>
        <w:t>Digital Health &amp; Technology Contributor - Africa Health ExCon, Cairo (2021-Present).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"/>
        <w:gridCol w:w="9936"/>
      </w:tblGrid>
      <w:tr>
        <w:tc>
          <w:tcPr>
            <w:tcW w:type="dxa" w:w="5234"/>
            <w:shd w:fill="C9A227"/>
          </w:tcPr>
          <w:p/>
        </w:tc>
        <w:tc>
          <w:tcPr>
            <w:tcW w:type="dxa" w:w="5234"/>
            <w:shd w:fill="0A2239"/>
          </w:tcPr>
          <w:p>
            <w:pPr>
              <w:spacing w:before="30" w:after="30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SELECTED ENTERPRISE PLATFORMS &amp; TRANSFORMATION PROGRAMS</w:t>
            </w:r>
          </w:p>
        </w:tc>
      </w:tr>
    </w:tbl>
    <w:p>
      <w:pPr>
        <w:spacing w:before="30" w:after="14"/>
      </w:pPr>
      <w:r>
        <w:rPr>
          <w:rFonts w:ascii="Arial" w:hAnsi="Arial"/>
          <w:b/>
          <w:i w:val="0"/>
          <w:color w:val="0A2239"/>
          <w:sz w:val="17"/>
        </w:rPr>
        <w:t>MedIQ / Unified Procurement &amp; Medical Supply Ecosystem</w:t>
      </w:r>
    </w:p>
    <w:p>
      <w:pPr>
        <w:spacing w:after="16" w:line="240" w:lineRule="auto"/>
      </w:pPr>
      <w:r>
        <w:rPr>
          <w:rFonts w:ascii="Arial" w:hAnsi="Arial"/>
          <w:b w:val="0"/>
          <w:i w:val="0"/>
          <w:color w:val="243746"/>
          <w:sz w:val="16"/>
        </w:rPr>
        <w:t>Led architecture and governance of an integrated 10-platform ecosystem supporting RFPs, approvals, inventory, distribution, supplier processes, and supply-chain controls across 12,000+ public-sector entities. The environment processed 320,000+ automated validation checks and strengthened transparency, planning, and stock visibility.</w:t>
      </w:r>
    </w:p>
    <w:p>
      <w:pPr>
        <w:spacing w:after="28"/>
      </w:pPr>
      <w:r>
        <w:rPr>
          <w:rFonts w:ascii="Arial" w:hAnsi="Arial"/>
          <w:b/>
          <w:i w:val="0"/>
          <w:color w:val="C9A227"/>
          <w:sz w:val="15"/>
        </w:rPr>
        <w:t xml:space="preserve">Selected technology: </w:t>
      </w:r>
      <w:r>
        <w:rPr>
          <w:rFonts w:ascii="Arial" w:hAnsi="Arial"/>
          <w:b w:val="0"/>
          <w:i w:val="0"/>
          <w:color w:val="5D6B78"/>
          <w:sz w:val="15"/>
        </w:rPr>
        <w:t>ASP.NET, C#, React.js, Node.js, GraphQL, MySQL, APIs</w:t>
      </w:r>
    </w:p>
    <w:p>
      <w:pPr>
        <w:spacing w:before="30" w:after="14"/>
      </w:pPr>
      <w:r>
        <w:rPr>
          <w:rFonts w:ascii="Arial" w:hAnsi="Arial"/>
          <w:b/>
          <w:i w:val="0"/>
          <w:color w:val="0A2239"/>
          <w:sz w:val="17"/>
        </w:rPr>
        <w:t>Egypt National Health Sector Data Warehouse &amp; Analytics Layer</w:t>
      </w:r>
    </w:p>
    <w:p>
      <w:pPr>
        <w:spacing w:after="16" w:line="240" w:lineRule="auto"/>
      </w:pPr>
      <w:r>
        <w:rPr>
          <w:rFonts w:ascii="Arial" w:hAnsi="Arial"/>
          <w:b w:val="0"/>
          <w:i w:val="0"/>
          <w:color w:val="243746"/>
          <w:sz w:val="16"/>
        </w:rPr>
        <w:t>Led architecture of a governed enterprise data environment with PostgreSQL, data pipelines, master data, operational data stores, validation controls, Power BI, and Apache Superset. The reporting layer processes 12M+ records daily and contributed to approximately 70% faster executive reporting preparation.</w:t>
      </w:r>
    </w:p>
    <w:p>
      <w:pPr>
        <w:spacing w:after="28"/>
      </w:pPr>
      <w:r>
        <w:rPr>
          <w:rFonts w:ascii="Arial" w:hAnsi="Arial"/>
          <w:b/>
          <w:i w:val="0"/>
          <w:color w:val="C9A227"/>
          <w:sz w:val="15"/>
        </w:rPr>
        <w:t xml:space="preserve">Selected technology: </w:t>
      </w:r>
      <w:r>
        <w:rPr>
          <w:rFonts w:ascii="Arial" w:hAnsi="Arial"/>
          <w:b w:val="0"/>
          <w:i w:val="0"/>
          <w:color w:val="5D6B78"/>
          <w:sz w:val="15"/>
        </w:rPr>
        <w:t>PostgreSQL, SQL, Data Pipelines, MDM, ODS, Power BI, Apache Superset</w:t>
      </w:r>
    </w:p>
    <w:p>
      <w:pPr>
        <w:spacing w:before="30" w:after="14"/>
      </w:pPr>
      <w:r>
        <w:rPr>
          <w:rFonts w:ascii="Arial" w:hAnsi="Arial"/>
          <w:b/>
          <w:i w:val="0"/>
          <w:color w:val="0A2239"/>
          <w:sz w:val="17"/>
        </w:rPr>
        <w:t>Microsoft Dynamics 365 ERP &amp; CRM Integration</w:t>
      </w:r>
    </w:p>
    <w:p>
      <w:pPr>
        <w:spacing w:after="16" w:line="240" w:lineRule="auto"/>
      </w:pPr>
      <w:r>
        <w:rPr>
          <w:rFonts w:ascii="Arial" w:hAnsi="Arial"/>
          <w:b w:val="0"/>
          <w:i w:val="0"/>
          <w:color w:val="243746"/>
          <w:sz w:val="16"/>
        </w:rPr>
        <w:t>Directed integration architecture connecting procurement, operations, stakeholder services, reporting, and data platforms with Dynamics 365 through controlled exchange, mapping, validation, reconciliation, workflow alignment, monitoring, and audit controls.</w:t>
      </w:r>
    </w:p>
    <w:p>
      <w:pPr>
        <w:spacing w:after="28"/>
      </w:pPr>
      <w:r>
        <w:rPr>
          <w:rFonts w:ascii="Arial" w:hAnsi="Arial"/>
          <w:b/>
          <w:i w:val="0"/>
          <w:color w:val="C9A227"/>
          <w:sz w:val="15"/>
        </w:rPr>
        <w:t xml:space="preserve">Selected technology: </w:t>
      </w:r>
      <w:r>
        <w:rPr>
          <w:rFonts w:ascii="Arial" w:hAnsi="Arial"/>
          <w:b w:val="0"/>
          <w:i w:val="0"/>
          <w:color w:val="5D6B78"/>
          <w:sz w:val="15"/>
        </w:rPr>
        <w:t>Microsoft Dynamics 365, REST APIs, Data Connectors, Mapping, Audit Logs</w:t>
      </w:r>
    </w:p>
    <w:p>
      <w:pPr>
        <w:spacing w:before="30" w:after="14"/>
      </w:pPr>
      <w:r>
        <w:rPr>
          <w:rFonts w:ascii="Arial" w:hAnsi="Arial"/>
          <w:b/>
          <w:i w:val="0"/>
          <w:color w:val="0A2239"/>
          <w:sz w:val="17"/>
        </w:rPr>
        <w:t>National Pharmaceutical Track &amp; Trace Program</w:t>
      </w:r>
    </w:p>
    <w:p>
      <w:pPr>
        <w:spacing w:after="16" w:line="240" w:lineRule="auto"/>
      </w:pPr>
      <w:r>
        <w:rPr>
          <w:rFonts w:ascii="Arial" w:hAnsi="Arial"/>
          <w:b w:val="0"/>
          <w:i w:val="0"/>
          <w:color w:val="243746"/>
          <w:sz w:val="16"/>
        </w:rPr>
        <w:t>Shaped program vision, governance, compliance model, cross-agency coordination, interoperability principles, and the technology roadmap across UPA, the Egyptian Drug Authority, and the Ministry of Health.</w:t>
      </w:r>
    </w:p>
    <w:p>
      <w:pPr>
        <w:spacing w:after="28"/>
      </w:pPr>
      <w:r>
        <w:rPr>
          <w:rFonts w:ascii="Arial" w:hAnsi="Arial"/>
          <w:b/>
          <w:i w:val="0"/>
          <w:color w:val="C9A227"/>
          <w:sz w:val="15"/>
        </w:rPr>
        <w:t xml:space="preserve">Selected technology: </w:t>
      </w:r>
      <w:r>
        <w:rPr>
          <w:rFonts w:ascii="Arial" w:hAnsi="Arial"/>
          <w:b w:val="0"/>
          <w:i w:val="0"/>
          <w:color w:val="5D6B78"/>
          <w:sz w:val="15"/>
        </w:rPr>
        <w:t>Governance, Compliance, Interoperability, Program Roadmap</w:t>
      </w:r>
    </w:p>
    <w:p>
      <w:pPr>
        <w:spacing w:before="30" w:after="14"/>
      </w:pPr>
      <w:r>
        <w:rPr>
          <w:rFonts w:ascii="Arial" w:hAnsi="Arial"/>
          <w:b/>
          <w:i w:val="0"/>
          <w:color w:val="0A2239"/>
          <w:sz w:val="17"/>
        </w:rPr>
        <w:t>Health Technology Assessment Platform</w:t>
      </w:r>
    </w:p>
    <w:p>
      <w:pPr>
        <w:spacing w:after="16" w:line="240" w:lineRule="auto"/>
      </w:pPr>
      <w:r>
        <w:rPr>
          <w:rFonts w:ascii="Arial" w:hAnsi="Arial"/>
          <w:b w:val="0"/>
          <w:i w:val="0"/>
          <w:color w:val="243746"/>
          <w:sz w:val="16"/>
        </w:rPr>
        <w:t>Directed digitization of evidence submission, controlled review, assessment tracking, role-based access, audit traceability, dashboards, and compliance reporting.</w:t>
      </w:r>
    </w:p>
    <w:p>
      <w:pPr>
        <w:spacing w:after="28"/>
      </w:pPr>
      <w:r>
        <w:rPr>
          <w:rFonts w:ascii="Arial" w:hAnsi="Arial"/>
          <w:b/>
          <w:i w:val="0"/>
          <w:color w:val="C9A227"/>
          <w:sz w:val="15"/>
        </w:rPr>
        <w:t xml:space="preserve">Selected technology: </w:t>
      </w:r>
      <w:r>
        <w:rPr>
          <w:rFonts w:ascii="Arial" w:hAnsi="Arial"/>
          <w:b w:val="0"/>
          <w:i w:val="0"/>
          <w:color w:val="5D6B78"/>
          <w:sz w:val="15"/>
        </w:rPr>
        <w:t>Workflow Engine, Dashboards, Audit Logs, RBAC, Compliance Reporting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"/>
        <w:gridCol w:w="9936"/>
      </w:tblGrid>
      <w:tr>
        <w:tc>
          <w:tcPr>
            <w:tcW w:type="dxa" w:w="5234"/>
            <w:shd w:fill="C9A227"/>
          </w:tcPr>
          <w:p/>
        </w:tc>
        <w:tc>
          <w:tcPr>
            <w:tcW w:type="dxa" w:w="5234"/>
            <w:shd w:fill="0A2239"/>
          </w:tcPr>
          <w:p>
            <w:pPr>
              <w:spacing w:before="30" w:after="30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TECHNICAL &amp; DELIVERY CAPABILITIES</w:t>
            </w:r>
          </w:p>
        </w:tc>
      </w:tr>
    </w:tbl>
    <w:p>
      <w:pPr>
        <w:spacing w:after="14"/>
      </w:pPr>
      <w:r>
        <w:rPr>
          <w:rFonts w:ascii="Arial" w:hAnsi="Arial"/>
          <w:b/>
          <w:i w:val="0"/>
          <w:color w:val="0A2239"/>
          <w:sz w:val="16"/>
        </w:rPr>
        <w:t xml:space="preserve">Executive &amp; Governance: </w:t>
      </w:r>
      <w:r>
        <w:rPr>
          <w:rFonts w:ascii="Arial" w:hAnsi="Arial"/>
          <w:b w:val="0"/>
          <w:i w:val="0"/>
          <w:color w:val="243746"/>
          <w:sz w:val="16"/>
        </w:rPr>
        <w:t>Technology Strategy, Digital Transformation, IT Operating Models, Enterprise Architecture, Portfolio Governance, Vendor Governance, Executive Stakeholder Management, Program Governance, Change &amp; Adoption</w:t>
      </w:r>
    </w:p>
    <w:p>
      <w:pPr>
        <w:spacing w:after="14"/>
      </w:pPr>
      <w:r>
        <w:rPr>
          <w:rFonts w:ascii="Arial" w:hAnsi="Arial"/>
          <w:b/>
          <w:i w:val="0"/>
          <w:color w:val="0A2239"/>
          <w:sz w:val="16"/>
        </w:rPr>
        <w:t xml:space="preserve">Architecture &amp; Integration: </w:t>
      </w:r>
      <w:r>
        <w:rPr>
          <w:rFonts w:ascii="Arial" w:hAnsi="Arial"/>
          <w:b w:val="0"/>
          <w:i w:val="0"/>
          <w:color w:val="243746"/>
          <w:sz w:val="16"/>
        </w:rPr>
        <w:t>Capability Mapping, Target-State Architecture, Solution Architecture, REST APIs, GraphQL, Integration Governance, Data Contracts, Microsoft Dynamics 365 ERP/CRM Integration, Application Modernization</w:t>
      </w:r>
    </w:p>
    <w:p>
      <w:pPr>
        <w:spacing w:after="14"/>
      </w:pPr>
      <w:r>
        <w:rPr>
          <w:rFonts w:ascii="Arial" w:hAnsi="Arial"/>
          <w:b/>
          <w:i w:val="0"/>
          <w:color w:val="0A2239"/>
          <w:sz w:val="16"/>
        </w:rPr>
        <w:t xml:space="preserve">Data &amp; Analytics: </w:t>
      </w:r>
      <w:r>
        <w:rPr>
          <w:rFonts w:ascii="Arial" w:hAnsi="Arial"/>
          <w:b w:val="0"/>
          <w:i w:val="0"/>
          <w:color w:val="243746"/>
          <w:sz w:val="16"/>
        </w:rPr>
        <w:t>PostgreSQL, SQL Server, MySQL, Data Pipelines, Master Data Management, Operational Data Stores, Data Governance, Power BI, Apache Superset, Forecasting Support, Risk &amp; Anomaly Analysis</w:t>
      </w:r>
    </w:p>
    <w:p>
      <w:pPr>
        <w:spacing w:after="14"/>
      </w:pPr>
      <w:r>
        <w:rPr>
          <w:rFonts w:ascii="Arial" w:hAnsi="Arial"/>
          <w:b/>
          <w:i w:val="0"/>
          <w:color w:val="0A2239"/>
          <w:sz w:val="16"/>
        </w:rPr>
        <w:t xml:space="preserve">Engineering &amp; Delivery: </w:t>
      </w:r>
      <w:r>
        <w:rPr>
          <w:rFonts w:ascii="Arial" w:hAnsi="Arial"/>
          <w:b w:val="0"/>
          <w:i w:val="0"/>
          <w:color w:val="243746"/>
          <w:sz w:val="16"/>
        </w:rPr>
        <w:t>C#, ASP.NET Core, .NET Framework, Entity Framework, React.js, Node.js, JavaScript, HTML5, CSS3, Agile, SDLC, QA, Git, Docker, Jenkins, CI/CD, Jira, Postman</w:t>
      </w:r>
    </w:p>
    <w:p>
      <w:pPr>
        <w:spacing w:after="14"/>
      </w:pPr>
      <w:r>
        <w:rPr>
          <w:rFonts w:ascii="Arial" w:hAnsi="Arial"/>
          <w:b/>
          <w:i w:val="0"/>
          <w:color w:val="0A2239"/>
          <w:sz w:val="16"/>
        </w:rPr>
        <w:t xml:space="preserve">Security &amp; Operations: </w:t>
      </w:r>
      <w:r>
        <w:rPr>
          <w:rFonts w:ascii="Arial" w:hAnsi="Arial"/>
          <w:b w:val="0"/>
          <w:i w:val="0"/>
          <w:color w:val="243746"/>
          <w:sz w:val="16"/>
        </w:rPr>
        <w:t>RBAC, API Security, Secure Coding, Audit Logs, Data Protection, Backup &amp; Recovery Governance, Monitoring, Release Governance, Service Governance, Technical Documentation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"/>
        <w:gridCol w:w="9936"/>
      </w:tblGrid>
      <w:tr>
        <w:tc>
          <w:tcPr>
            <w:tcW w:type="dxa" w:w="5234"/>
            <w:shd w:fill="C9A227"/>
          </w:tcPr>
          <w:p/>
        </w:tc>
        <w:tc>
          <w:tcPr>
            <w:tcW w:type="dxa" w:w="5234"/>
            <w:shd w:fill="0A2239"/>
          </w:tcPr>
          <w:p>
            <w:pPr>
              <w:spacing w:before="30" w:after="30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EDUCATION &amp; LANGUAGES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34"/>
        <w:gridCol w:w="5234"/>
      </w:tblGrid>
      <w:tr>
        <w:tc>
          <w:tcPr>
            <w:tcW w:type="dxa" w:w="5234"/>
            <w:shd w:fill="EEF4F7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</w:tcPr>
          <w:p>
            <w:r>
              <w:rPr>
                <w:rFonts w:ascii="Arial" w:hAnsi="Arial"/>
                <w:b/>
                <w:i w:val="0"/>
                <w:color w:val="0A2239"/>
                <w:sz w:val="16"/>
              </w:rPr>
              <w:t>Education</w:t>
            </w:r>
          </w:p>
        </w:tc>
        <w:tc>
          <w:tcPr>
            <w:tcW w:type="dxa" w:w="5234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</w:tcPr>
          <w:p>
            <w:r>
              <w:rPr>
                <w:rFonts w:ascii="Arial" w:hAnsi="Arial"/>
                <w:b w:val="0"/>
                <w:i w:val="0"/>
                <w:color w:val="243746"/>
                <w:sz w:val="16"/>
              </w:rPr>
              <w:t>B.Sc. in Computer Science, Faculty of Computers &amp; Informatics, Zagazig University | 2003-2007</w:t>
            </w:r>
          </w:p>
        </w:tc>
      </w:tr>
      <w:tr>
        <w:tc>
          <w:tcPr>
            <w:tcW w:type="dxa" w:w="5234"/>
            <w:shd w:fill="EEF4F7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</w:tcPr>
          <w:p>
            <w:r>
              <w:rPr>
                <w:rFonts w:ascii="Arial" w:hAnsi="Arial"/>
                <w:b/>
                <w:i w:val="0"/>
                <w:color w:val="0A2239"/>
                <w:sz w:val="16"/>
              </w:rPr>
              <w:t>Languages</w:t>
            </w:r>
          </w:p>
        </w:tc>
        <w:tc>
          <w:tcPr>
            <w:tcW w:type="dxa" w:w="5234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</w:tcPr>
          <w:p>
            <w:r>
              <w:rPr>
                <w:rFonts w:ascii="Arial" w:hAnsi="Arial"/>
                <w:b w:val="0"/>
                <w:i w:val="0"/>
                <w:color w:val="243746"/>
                <w:sz w:val="16"/>
              </w:rPr>
              <w:t>Arabic - Native | English - Professional Working Proficiency</w:t>
            </w:r>
          </w:p>
        </w:tc>
      </w:tr>
      <w:tr>
        <w:tc>
          <w:tcPr>
            <w:tcW w:type="dxa" w:w="5234"/>
            <w:shd w:fill="EEF4F7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</w:tcPr>
          <w:p>
            <w:r>
              <w:rPr>
                <w:rFonts w:ascii="Arial" w:hAnsi="Arial"/>
                <w:b/>
                <w:i w:val="0"/>
                <w:color w:val="0A2239"/>
                <w:sz w:val="16"/>
              </w:rPr>
              <w:t>International Experience</w:t>
            </w:r>
          </w:p>
        </w:tc>
        <w:tc>
          <w:tcPr>
            <w:tcW w:type="dxa" w:w="5234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</w:tcPr>
          <w:p>
            <w:r>
              <w:rPr>
                <w:rFonts w:ascii="Arial" w:hAnsi="Arial"/>
                <w:b w:val="0"/>
                <w:i w:val="0"/>
                <w:color w:val="243746"/>
                <w:sz w:val="16"/>
              </w:rPr>
              <w:t>Muscat, Oman | May 2016 - October 2020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9" w:h="16834"/>
      <w:pgMar w:top="691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i w:val="0"/>
        <w:color w:val="5D6B78"/>
        <w:sz w:val="14"/>
      </w:rPr>
      <w:t xml:space="preserve">mahmoud-salama.vercel.app  |  Cairo, Egypt  |  </w:t>
    </w:r>
    <w:hyperlink r:id="rId1">
      <w:r>
        <w:rPr>
          <w:color w:val="0AA6B4"/>
          <w:rFonts w:ascii="Arial" w:hAnsi="Arial"/>
          <w:sz w:val="18"/>
        </w:rPr>
        <w:t>LinkedIn</w:t>
      </w:r>
    </w:hyperlink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7920"/>
      <w:gridCol w:w="2448"/>
    </w:tblGrid>
    <w:tr>
      <w:tc>
        <w:tcPr>
          <w:tcW w:type="dxa" w:w="5184"/>
          <w:tcBorders>
            <w:bottom w:val="single" w:sz="8" w:color="0AA6B4"/>
          </w:tcBorders>
        </w:tcPr>
        <w:p>
          <w:pPr>
            <w:jc w:val="left"/>
          </w:pPr>
          <w:r>
            <w:rPr>
              <w:rFonts w:ascii="Arial" w:hAnsi="Arial"/>
              <w:b/>
              <w:i w:val="0"/>
              <w:color w:val="0A2239"/>
              <w:sz w:val="17"/>
            </w:rPr>
            <w:t>MAHMOUD SALAMA</w:t>
          </w:r>
        </w:p>
      </w:tc>
      <w:tc>
        <w:tcPr>
          <w:tcW w:type="dxa" w:w="5184"/>
          <w:tcBorders>
            <w:bottom w:val="single" w:sz="8" w:color="0AA6B4"/>
          </w:tcBorders>
        </w:tcPr>
        <w:p>
          <w:pPr>
            <w:jc w:val="right"/>
          </w:pPr>
          <w:r>
            <w:rPr>
              <w:rFonts w:ascii="Arial" w:hAnsi="Arial"/>
              <w:b/>
              <w:i w:val="0"/>
              <w:color w:val="C9A227"/>
              <w:sz w:val="16"/>
            </w:rPr>
            <w:t>TARGETED CV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8" w:line="240" w:lineRule="auto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80" w:after="40"/>
      <w:outlineLvl w:val="0"/>
    </w:pPr>
    <w:rPr>
      <w:rFonts w:asciiTheme="majorHAnsi" w:eastAsiaTheme="majorEastAsia" w:hAnsiTheme="majorHAnsi" w:cstheme="majorBidi" w:ascii="Arial" w:hAnsi="Arial"/>
      <w:b/>
      <w:bCs/>
      <w:color w:val="0A2239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40"/>
      <w:outlineLvl w:val="1"/>
    </w:pPr>
    <w:rPr>
      <w:rFonts w:asciiTheme="majorHAnsi" w:eastAsiaTheme="majorEastAsia" w:hAnsiTheme="majorHAnsi" w:cstheme="majorBidi" w:ascii="Arial" w:hAnsi="Arial"/>
      <w:b/>
      <w:bCs/>
      <w:color w:val="147D7A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80" w:after="40"/>
      <w:outlineLvl w:val="2"/>
    </w:pPr>
    <w:rPr>
      <w:rFonts w:asciiTheme="majorHAnsi" w:eastAsiaTheme="majorEastAsia" w:hAnsiTheme="majorHAnsi" w:cstheme="majorBidi" w:ascii="Arial" w:hAnsi="Arial"/>
      <w:b/>
      <w:bCs/>
      <w:color w:val="0A2239"/>
      <w:sz w:val="1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40" w:line="240" w:lineRule="auto" w:before="80"/>
      <w:contextualSpacing/>
    </w:pPr>
    <w:rPr>
      <w:rFonts w:asciiTheme="majorHAnsi" w:eastAsiaTheme="majorEastAsia" w:hAnsiTheme="majorHAnsi" w:cstheme="majorBidi" w:ascii="Arial" w:hAnsi="Arial"/>
      <w:b/>
      <w:color w:val="0A223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Muted">
    <w:name w:val="Small Muted"/>
    <w:rPr>
      <w:rFonts w:ascii="Arial" w:hAnsi="Arial"/>
      <w:color w:val="5D6B78"/>
      <w:sz w:val="15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linkedin.com/in/mahmoud-salama-30249b34" TargetMode="External"/><Relationship Id="rId12" Type="http://schemas.openxmlformats.org/officeDocument/2006/relationships/hyperlink" Target="https://mahmoud-salama.vercel.app" TargetMode="Externa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s://linkedin.com/in/mahmoud-salama-30249b3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TECHNOLOGY &amp; DIGITAL TRANSFORMATION EXECUTIVE</dc:title>
  <dc:subject>CIO / CTO / IT DIRECTOR | STRATEGY, GOVERNANCE, ENTERPRISE PLATFORMS &amp; OPERATIONS</dc:subject>
  <dc:creator>Mahmoud Salama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