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469"/>
      </w:tblGrid>
      <w:tr>
        <w:tc>
          <w:tcPr>
            <w:tcW w:type="dxa" w:w="10469"/>
            <w:shd w:fill="0A2239"/>
            <w:vAlign w:val="center"/>
          </w:tcPr>
          <w:p>
            <w:pPr>
              <w:spacing w:before="100" w:after="40"/>
              <w:jc w:val="center"/>
            </w:pPr>
            <w:r>
              <w:rPr>
                <w:rFonts w:ascii="Arial" w:hAnsi="Arial"/>
                <w:b/>
                <w:i w:val="0"/>
                <w:color w:val="FFFFFF"/>
                <w:sz w:val="38"/>
              </w:rPr>
              <w:t>DIGITAL TRANSFORMATION &amp; TECHNOLOGY PROGRAM DIRECTOR</w:t>
            </w:r>
          </w:p>
        </w:tc>
      </w:tr>
      <w:tr>
        <w:tc>
          <w:tcPr>
            <w:tcW w:type="dxa" w:w="10469"/>
            <w:shd w:fill="EEF4F7"/>
          </w:tcPr>
          <w:p>
            <w:pPr>
              <w:spacing w:before="40" w:after="60"/>
              <w:jc w:val="center"/>
            </w:pPr>
            <w:r>
              <w:rPr>
                <w:rFonts w:ascii="Arial" w:hAnsi="Arial"/>
                <w:b/>
                <w:i w:val="0"/>
                <w:color w:val="147D7A"/>
                <w:sz w:val="19"/>
              </w:rPr>
              <w:t>STRATEGY TO EXECUTION | GOVERNANCE | CHANGE &amp; ADOPTION | VALUE REALIZATION</w:t>
            </w:r>
          </w:p>
        </w:tc>
      </w:tr>
    </w:tbl>
    <w:p>
      <w:pPr>
        <w:spacing w:before="40" w:after="100"/>
        <w:jc w:val="center"/>
      </w:pPr>
      <w:r>
        <w:rPr>
          <w:rFonts w:ascii="Arial" w:hAnsi="Arial"/>
          <w:b w:val="0"/>
          <w:i w:val="0"/>
          <w:color w:val="243746"/>
          <w:sz w:val="17"/>
        </w:rPr>
        <w:t xml:space="preserve">+20 122 015 6077  |  ma7moud.salamaaa@gmail.com  |  Cairo, Egypt  |  </w:t>
      </w:r>
      <w:hyperlink r:id="rId11">
        <w:r>
          <w:rPr>
            <w:color w:val="0AA6B4"/>
            <w:rFonts w:ascii="Arial" w:hAnsi="Arial"/>
            <w:sz w:val="18"/>
          </w:rPr>
          <w:t>LinkedIn</w:t>
        </w:r>
      </w:hyperlink>
      <w:r>
        <w:rPr>
          <w:rFonts w:ascii="Arial" w:hAnsi="Arial"/>
          <w:b w:val="0"/>
          <w:i w:val="0"/>
          <w:color w:val="243746"/>
          <w:sz w:val="17"/>
        </w:rPr>
        <w:t xml:space="preserve">  |  </w:t>
      </w:r>
      <w:hyperlink r:id="rId12">
        <w:r>
          <w:rPr>
            <w:color w:val="0AA6B4"/>
            <w:rFonts w:ascii="Arial" w:hAnsi="Arial"/>
            <w:sz w:val="18"/>
          </w:rPr>
          <w:t>Website</w:t>
        </w:r>
      </w:hyperlink>
    </w:p>
    <w:p>
      <w:pPr>
        <w:spacing w:after="80"/>
        <w:jc w:val="center"/>
      </w:pPr>
      <w:r>
        <w:rPr>
          <w:rFonts w:ascii="Arial" w:hAnsi="Arial"/>
          <w:b/>
          <w:i w:val="0"/>
          <w:color w:val="C9A227"/>
          <w:sz w:val="16"/>
        </w:rPr>
        <w:t>Available within one month | Open to Egypt, GCC, Africa &amp; Remote</w:t>
      </w:r>
    </w:p>
    <w:tbl>
      <w:tblPr>
        <w:tblW w:type="auto" w:w="0"/>
        <w:jc w:val="center"/>
        <w:tblLook w:firstColumn="1" w:firstRow="1" w:lastColumn="0" w:lastRow="0" w:noHBand="0" w:noVBand="1" w:val="04A0"/>
      </w:tblPr>
      <w:tblGrid>
        <w:gridCol w:w="259"/>
        <w:gridCol w:w="9936"/>
      </w:tblGrid>
      <w:tr>
        <w:tc>
          <w:tcPr>
            <w:tcW w:type="dxa" w:w="5234"/>
            <w:shd w:fill="C9A227"/>
          </w:tcPr>
          <w:p/>
        </w:tc>
        <w:tc>
          <w:tcPr>
            <w:tcW w:type="dxa" w:w="5234"/>
            <w:shd w:fill="0A2239"/>
          </w:tcPr>
          <w:p>
            <w:pPr>
              <w:spacing w:before="30" w:after="30"/>
            </w:pPr>
            <w:r>
              <w:rPr>
                <w:rFonts w:ascii="Arial" w:hAnsi="Arial"/>
                <w:b/>
                <w:i w:val="0"/>
                <w:color w:val="FFFFFF"/>
                <w:sz w:val="19"/>
              </w:rPr>
              <w:t>EXECUTIVE PROFILE</w:t>
            </w:r>
          </w:p>
        </w:tc>
      </w:tr>
    </w:tbl>
    <w:p>
      <w:pPr>
        <w:spacing w:before="0" w:after="80" w:line="247" w:lineRule="auto"/>
      </w:pPr>
      <w:r>
        <w:rPr>
          <w:rFonts w:ascii="Arial" w:hAnsi="Arial"/>
          <w:b w:val="0"/>
          <w:i w:val="0"/>
          <w:color w:val="243746"/>
          <w:sz w:val="18"/>
        </w:rPr>
        <w:t>Digital transformation and technology program leader with 18+ years of experience diagnosing complex institutional problems, defining target outcomes, establishing governance, coordinating architecture and delivery, managing vendors and multidisciplinary teams, enabling adoption, and tracking measurable benefits. Experienced across government, healthcare, education, procurement, supply chain, data, and GCC enterprise delivery.</w:t>
      </w:r>
    </w:p>
    <w:tbl>
      <w:tblPr>
        <w:tblW w:type="auto" w:w="0"/>
        <w:jc w:val="center"/>
        <w:tblLayout w:type="autofit"/>
        <w:tblLook w:firstColumn="1" w:firstRow="1" w:lastColumn="0" w:lastRow="0" w:noHBand="0" w:noVBand="1" w:val="04A0"/>
      </w:tblPr>
      <w:tblGrid>
        <w:gridCol w:w="3490"/>
        <w:gridCol w:w="3490"/>
        <w:gridCol w:w="3490"/>
      </w:tblGrid>
      <w:tr>
        <w:tc>
          <w:tcPr>
            <w:tcW w:type="dxa" w:w="3490"/>
            <w:shd w:fill="EEF4F7"/>
            <w:tcBorders>
              <w:top w:val="single" w:sz="5" w:color="D9E2E8"/>
              <w:left w:val="single" w:sz="5" w:color="D9E2E8"/>
              <w:bottom w:val="single" w:sz="5" w:color="D9E2E8"/>
              <w:right w:val="single" w:sz="5" w:color="D9E2E8"/>
            </w:tcBorders>
          </w:tcPr>
          <w:p>
            <w:pPr>
              <w:spacing w:before="40" w:after="0"/>
              <w:jc w:val="center"/>
            </w:pPr>
            <w:r>
              <w:rPr>
                <w:rFonts w:ascii="Arial" w:hAnsi="Arial"/>
                <w:b/>
                <w:i w:val="0"/>
                <w:color w:val="0A2239"/>
                <w:sz w:val="22"/>
              </w:rPr>
              <w:t>150+</w:t>
            </w:r>
          </w:p>
          <w:p>
            <w:pPr>
              <w:spacing w:after="40"/>
              <w:jc w:val="center"/>
            </w:pPr>
            <w:r>
              <w:rPr>
                <w:rFonts w:ascii="Arial" w:hAnsi="Arial"/>
                <w:b w:val="0"/>
                <w:i w:val="0"/>
                <w:color w:val="5D6B78"/>
                <w:sz w:val="15"/>
              </w:rPr>
              <w:t>initiatives led or supported</w:t>
            </w:r>
          </w:p>
        </w:tc>
        <w:tc>
          <w:tcPr>
            <w:tcW w:type="dxa" w:w="3490"/>
            <w:shd w:fill="EEF4F7"/>
            <w:tcBorders>
              <w:top w:val="single" w:sz="5" w:color="D9E2E8"/>
              <w:left w:val="single" w:sz="5" w:color="D9E2E8"/>
              <w:bottom w:val="single" w:sz="5" w:color="D9E2E8"/>
              <w:right w:val="single" w:sz="5" w:color="D9E2E8"/>
            </w:tcBorders>
          </w:tcPr>
          <w:p>
            <w:pPr>
              <w:spacing w:before="40" w:after="0"/>
              <w:jc w:val="center"/>
            </w:pPr>
            <w:r>
              <w:rPr>
                <w:rFonts w:ascii="Arial" w:hAnsi="Arial"/>
                <w:b/>
                <w:i w:val="0"/>
                <w:color w:val="0A2239"/>
                <w:sz w:val="22"/>
              </w:rPr>
              <w:t>39,000+</w:t>
            </w:r>
          </w:p>
          <w:p>
            <w:pPr>
              <w:spacing w:after="40"/>
              <w:jc w:val="center"/>
            </w:pPr>
            <w:r>
              <w:rPr>
                <w:rFonts w:ascii="Arial" w:hAnsi="Arial"/>
                <w:b w:val="0"/>
                <w:i w:val="0"/>
                <w:color w:val="5D6B78"/>
                <w:sz w:val="15"/>
              </w:rPr>
              <w:t>staff reached</w:t>
            </w:r>
          </w:p>
        </w:tc>
        <w:tc>
          <w:tcPr>
            <w:tcW w:type="dxa" w:w="3490"/>
            <w:shd w:fill="EEF4F7"/>
            <w:tcBorders>
              <w:top w:val="single" w:sz="5" w:color="D9E2E8"/>
              <w:left w:val="single" w:sz="5" w:color="D9E2E8"/>
              <w:bottom w:val="single" w:sz="5" w:color="D9E2E8"/>
              <w:right w:val="single" w:sz="5" w:color="D9E2E8"/>
            </w:tcBorders>
          </w:tcPr>
          <w:p>
            <w:pPr>
              <w:spacing w:before="40" w:after="0"/>
              <w:jc w:val="center"/>
            </w:pPr>
            <w:r>
              <w:rPr>
                <w:rFonts w:ascii="Arial" w:hAnsi="Arial"/>
                <w:b/>
                <w:i w:val="0"/>
                <w:color w:val="0A2239"/>
                <w:sz w:val="22"/>
              </w:rPr>
              <w:t>~3x</w:t>
            </w:r>
          </w:p>
          <w:p>
            <w:pPr>
              <w:spacing w:after="40"/>
              <w:jc w:val="center"/>
            </w:pPr>
            <w:r>
              <w:rPr>
                <w:rFonts w:ascii="Arial" w:hAnsi="Arial"/>
                <w:b w:val="0"/>
                <w:i w:val="0"/>
                <w:color w:val="5D6B78"/>
                <w:sz w:val="15"/>
              </w:rPr>
              <w:t>departmental delivery capacity</w:t>
            </w:r>
          </w:p>
        </w:tc>
      </w:tr>
      <w:tr>
        <w:tc>
          <w:tcPr>
            <w:tcW w:type="dxa" w:w="3490"/>
            <w:shd w:fill="EEF4F7"/>
            <w:tcBorders>
              <w:top w:val="single" w:sz="5" w:color="D9E2E8"/>
              <w:left w:val="single" w:sz="5" w:color="D9E2E8"/>
              <w:bottom w:val="single" w:sz="5" w:color="D9E2E8"/>
              <w:right w:val="single" w:sz="5" w:color="D9E2E8"/>
            </w:tcBorders>
          </w:tcPr>
          <w:p>
            <w:pPr>
              <w:spacing w:before="40" w:after="0"/>
              <w:jc w:val="center"/>
            </w:pPr>
            <w:r>
              <w:rPr>
                <w:rFonts w:ascii="Arial" w:hAnsi="Arial"/>
                <w:b/>
                <w:i w:val="0"/>
                <w:color w:val="0A2239"/>
                <w:sz w:val="22"/>
              </w:rPr>
              <w:t>EGP</w:t>
            </w:r>
          </w:p>
          <w:p>
            <w:pPr>
              <w:spacing w:after="40"/>
              <w:jc w:val="center"/>
            </w:pPr>
            <w:r>
              <w:rPr>
                <w:rFonts w:ascii="Arial" w:hAnsi="Arial"/>
                <w:b w:val="0"/>
                <w:i w:val="0"/>
                <w:color w:val="5D6B78"/>
                <w:sz w:val="15"/>
              </w:rPr>
              <w:t>150M+ portfolio</w:t>
            </w:r>
          </w:p>
        </w:tc>
        <w:tc>
          <w:tcPr>
            <w:tcW w:type="dxa" w:w="3490"/>
            <w:shd w:fill="EEF4F7"/>
            <w:tcBorders>
              <w:top w:val="single" w:sz="5" w:color="D9E2E8"/>
              <w:left w:val="single" w:sz="5" w:color="D9E2E8"/>
              <w:bottom w:val="single" w:sz="5" w:color="D9E2E8"/>
              <w:right w:val="single" w:sz="5" w:color="D9E2E8"/>
            </w:tcBorders>
          </w:tcPr>
          <w:p>
            <w:pPr>
              <w:spacing w:before="40" w:after="0"/>
              <w:jc w:val="center"/>
            </w:pPr>
            <w:r>
              <w:rPr>
                <w:rFonts w:ascii="Arial" w:hAnsi="Arial"/>
                <w:b/>
                <w:i w:val="0"/>
                <w:color w:val="0A2239"/>
                <w:sz w:val="22"/>
              </w:rPr>
              <w:t>12,000+</w:t>
            </w:r>
          </w:p>
          <w:p>
            <w:pPr>
              <w:spacing w:after="40"/>
              <w:jc w:val="center"/>
            </w:pPr>
            <w:r>
              <w:rPr>
                <w:rFonts w:ascii="Arial" w:hAnsi="Arial"/>
                <w:b w:val="0"/>
                <w:i w:val="0"/>
                <w:color w:val="5D6B78"/>
                <w:sz w:val="15"/>
              </w:rPr>
              <w:t>entities supported</w:t>
            </w:r>
          </w:p>
        </w:tc>
        <w:tc>
          <w:tcPr>
            <w:tcW w:type="dxa" w:w="3490"/>
            <w:shd w:fill="EEF4F7"/>
            <w:tcBorders>
              <w:top w:val="single" w:sz="5" w:color="D9E2E8"/>
              <w:left w:val="single" w:sz="5" w:color="D9E2E8"/>
              <w:bottom w:val="single" w:sz="5" w:color="D9E2E8"/>
              <w:right w:val="single" w:sz="5" w:color="D9E2E8"/>
            </w:tcBorders>
          </w:tcPr>
          <w:p>
            <w:pPr>
              <w:spacing w:before="40" w:after="0"/>
              <w:jc w:val="center"/>
            </w:pPr>
            <w:r>
              <w:rPr>
                <w:rFonts w:ascii="Arial" w:hAnsi="Arial"/>
                <w:b/>
                <w:i w:val="0"/>
                <w:color w:val="0A2239"/>
                <w:sz w:val="22"/>
              </w:rPr>
              <w:t>Cross-agency</w:t>
            </w:r>
          </w:p>
          <w:p>
            <w:pPr>
              <w:spacing w:after="40"/>
              <w:jc w:val="center"/>
            </w:pPr>
            <w:r>
              <w:rPr>
                <w:rFonts w:ascii="Arial" w:hAnsi="Arial"/>
                <w:b w:val="0"/>
                <w:i w:val="0"/>
                <w:color w:val="5D6B78"/>
                <w:sz w:val="15"/>
              </w:rPr>
              <w:t>national governance</w:t>
            </w:r>
          </w:p>
        </w:tc>
      </w:tr>
    </w:tbl>
    <w:p>
      <w:pPr>
        <w:spacing w:before="60" w:after="80" w:line="240" w:lineRule="auto"/>
        <w:jc w:val="center"/>
      </w:pPr>
      <w:r>
        <w:rPr>
          <w:rFonts w:ascii="Arial" w:hAnsi="Arial"/>
          <w:b/>
          <w:i w:val="0"/>
          <w:color w:val="147D7A"/>
          <w:sz w:val="16"/>
        </w:rPr>
        <w:t>Discover and diagnose -&gt; define outcomes and governance -&gt; design the target state -&gt; deliver controlled increments -&gt; enable adoption -&gt; measure and sustain.</w:t>
      </w:r>
    </w:p>
    <w:tbl>
      <w:tblPr>
        <w:tblW w:type="auto" w:w="0"/>
        <w:jc w:val="center"/>
        <w:tblLook w:firstColumn="1" w:firstRow="1" w:lastColumn="0" w:lastRow="0" w:noHBand="0" w:noVBand="1" w:val="04A0"/>
      </w:tblPr>
      <w:tblGrid>
        <w:gridCol w:w="259"/>
        <w:gridCol w:w="9936"/>
      </w:tblGrid>
      <w:tr>
        <w:tc>
          <w:tcPr>
            <w:tcW w:type="dxa" w:w="5234"/>
            <w:shd w:fill="C9A227"/>
          </w:tcPr>
          <w:p/>
        </w:tc>
        <w:tc>
          <w:tcPr>
            <w:tcW w:type="dxa" w:w="5234"/>
            <w:shd w:fill="0A2239"/>
          </w:tcPr>
          <w:p>
            <w:pPr>
              <w:spacing w:before="30" w:after="30"/>
            </w:pPr>
            <w:r>
              <w:rPr>
                <w:rFonts w:ascii="Arial" w:hAnsi="Arial"/>
                <w:b/>
                <w:i w:val="0"/>
                <w:color w:val="FFFFFF"/>
                <w:sz w:val="19"/>
              </w:rPr>
              <w:t>CORE LEADERSHIP &amp; CAPABILITY AREAS</w:t>
            </w:r>
          </w:p>
        </w:tc>
      </w:tr>
    </w:tbl>
    <w:tbl>
      <w:tblPr>
        <w:tblW w:type="auto" w:w="0"/>
        <w:jc w:val="center"/>
        <w:tblLook w:firstColumn="1" w:firstRow="1" w:lastColumn="0" w:lastRow="0" w:noHBand="0" w:noVBand="1" w:val="04A0"/>
      </w:tblPr>
      <w:tblGrid>
        <w:gridCol w:w="5234"/>
        <w:gridCol w:w="5234"/>
      </w:tblGrid>
      <w:tr>
        <w:tc>
          <w:tcPr>
            <w:tcW w:type="dxa" w:w="5234"/>
            <w:shd w:fill="F7F9FB"/>
            <w:tcBorders>
              <w:top w:val="single" w:sz="4" w:color="D9E2E8"/>
              <w:left w:val="single" w:sz="4" w:color="D9E2E8"/>
              <w:bottom w:val="single" w:sz="4" w:color="D9E2E8"/>
              <w:right w:val="single" w:sz="4" w:color="D9E2E8"/>
            </w:tcBorders>
          </w:tcPr>
          <w:p>
            <w:pPr>
              <w:spacing w:after="20"/>
            </w:pPr>
            <w:r>
              <w:rPr>
                <w:rFonts w:ascii="Arial" w:hAnsi="Arial"/>
                <w:b/>
                <w:i w:val="0"/>
                <w:color w:val="0A2239"/>
                <w:sz w:val="17"/>
              </w:rPr>
              <w:t>Transformation Strategy</w:t>
            </w:r>
          </w:p>
          <w:p>
            <w:pPr>
              <w:spacing w:after="20"/>
            </w:pPr>
            <w:r>
              <w:rPr>
                <w:rFonts w:ascii="Arial" w:hAnsi="Arial"/>
                <w:b w:val="0"/>
                <w:i w:val="0"/>
                <w:color w:val="243746"/>
                <w:sz w:val="15"/>
              </w:rPr>
              <w:t>Current-state assessment, outcome definition, target operating models, transformation roadmaps, benefits realization</w:t>
            </w:r>
          </w:p>
        </w:tc>
        <w:tc>
          <w:tcPr>
            <w:tcW w:type="dxa" w:w="5234"/>
            <w:shd w:fill="EEF4F7"/>
            <w:tcBorders>
              <w:top w:val="single" w:sz="4" w:color="D9E2E8"/>
              <w:left w:val="single" w:sz="4" w:color="D9E2E8"/>
              <w:bottom w:val="single" w:sz="4" w:color="D9E2E8"/>
              <w:right w:val="single" w:sz="4" w:color="D9E2E8"/>
            </w:tcBorders>
          </w:tcPr>
          <w:p>
            <w:pPr>
              <w:spacing w:after="20"/>
            </w:pPr>
            <w:r>
              <w:rPr>
                <w:rFonts w:ascii="Arial" w:hAnsi="Arial"/>
                <w:b/>
                <w:i w:val="0"/>
                <w:color w:val="0A2239"/>
                <w:sz w:val="17"/>
              </w:rPr>
              <w:t>Program Governance</w:t>
            </w:r>
          </w:p>
          <w:p>
            <w:pPr>
              <w:spacing w:after="20"/>
            </w:pPr>
            <w:r>
              <w:rPr>
                <w:rFonts w:ascii="Arial" w:hAnsi="Arial"/>
                <w:b w:val="0"/>
                <w:i w:val="0"/>
                <w:color w:val="243746"/>
                <w:sz w:val="15"/>
              </w:rPr>
              <w:t>Decision rights, steering structures, PMO controls, risk and issue management, vendor governance, quality gates, executive reporting</w:t>
            </w:r>
          </w:p>
        </w:tc>
      </w:tr>
      <w:tr>
        <w:tc>
          <w:tcPr>
            <w:tcW w:type="dxa" w:w="5234"/>
            <w:shd w:fill="F7F9FB"/>
            <w:tcBorders>
              <w:top w:val="single" w:sz="4" w:color="D9E2E8"/>
              <w:left w:val="single" w:sz="4" w:color="D9E2E8"/>
              <w:bottom w:val="single" w:sz="4" w:color="D9E2E8"/>
              <w:right w:val="single" w:sz="4" w:color="D9E2E8"/>
            </w:tcBorders>
          </w:tcPr>
          <w:p>
            <w:pPr>
              <w:spacing w:after="20"/>
            </w:pPr>
            <w:r>
              <w:rPr>
                <w:rFonts w:ascii="Arial" w:hAnsi="Arial"/>
                <w:b/>
                <w:i w:val="0"/>
                <w:color w:val="0A2239"/>
                <w:sz w:val="17"/>
              </w:rPr>
              <w:t>Change &amp; Adoption</w:t>
            </w:r>
          </w:p>
          <w:p>
            <w:pPr>
              <w:spacing w:after="20"/>
            </w:pPr>
            <w:r>
              <w:rPr>
                <w:rFonts w:ascii="Arial" w:hAnsi="Arial"/>
                <w:b w:val="0"/>
                <w:i w:val="0"/>
                <w:color w:val="243746"/>
                <w:sz w:val="15"/>
              </w:rPr>
              <w:t>Stakeholder engagement, role design, training, knowledge transfer, service transition, feedback loops, operational ownership</w:t>
            </w:r>
          </w:p>
        </w:tc>
        <w:tc>
          <w:tcPr>
            <w:tcW w:type="dxa" w:w="5234"/>
            <w:shd w:fill="EEF4F7"/>
            <w:tcBorders>
              <w:top w:val="single" w:sz="4" w:color="D9E2E8"/>
              <w:left w:val="single" w:sz="4" w:color="D9E2E8"/>
              <w:bottom w:val="single" w:sz="4" w:color="D9E2E8"/>
              <w:right w:val="single" w:sz="4" w:color="D9E2E8"/>
            </w:tcBorders>
          </w:tcPr>
          <w:p>
            <w:pPr>
              <w:spacing w:after="20"/>
            </w:pPr>
            <w:r>
              <w:rPr>
                <w:rFonts w:ascii="Arial" w:hAnsi="Arial"/>
                <w:b/>
                <w:i w:val="0"/>
                <w:color w:val="0A2239"/>
                <w:sz w:val="17"/>
              </w:rPr>
              <w:t>Architecture-Enabled Delivery</w:t>
            </w:r>
          </w:p>
          <w:p>
            <w:pPr>
              <w:spacing w:after="20"/>
            </w:pPr>
            <w:r>
              <w:rPr>
                <w:rFonts w:ascii="Arial" w:hAnsi="Arial"/>
                <w:b w:val="0"/>
                <w:i w:val="0"/>
                <w:color w:val="243746"/>
                <w:sz w:val="15"/>
              </w:rPr>
              <w:t>Enterprise architecture, data, integration, security, phased releases, acceptance criteria, service performance, continuous improvement</w:t>
            </w:r>
          </w:p>
        </w:tc>
      </w:tr>
    </w:tbl>
    <w:tbl>
      <w:tblPr>
        <w:tblW w:type="auto" w:w="0"/>
        <w:jc w:val="center"/>
        <w:tblLook w:firstColumn="1" w:firstRow="1" w:lastColumn="0" w:lastRow="0" w:noHBand="0" w:noVBand="1" w:val="04A0"/>
      </w:tblPr>
      <w:tblGrid>
        <w:gridCol w:w="259"/>
        <w:gridCol w:w="9936"/>
      </w:tblGrid>
      <w:tr>
        <w:tc>
          <w:tcPr>
            <w:tcW w:type="dxa" w:w="5234"/>
            <w:shd w:fill="C9A227"/>
          </w:tcPr>
          <w:p/>
        </w:tc>
        <w:tc>
          <w:tcPr>
            <w:tcW w:type="dxa" w:w="5234"/>
            <w:shd w:fill="0A2239"/>
          </w:tcPr>
          <w:p>
            <w:pPr>
              <w:spacing w:before="30" w:after="30"/>
            </w:pPr>
            <w:r>
              <w:rPr>
                <w:rFonts w:ascii="Arial" w:hAnsi="Arial"/>
                <w:b/>
                <w:i w:val="0"/>
                <w:color w:val="FFFFFF"/>
                <w:sz w:val="19"/>
              </w:rPr>
              <w:t>PROFESSIONAL EXPERIENCE</w:t>
            </w:r>
          </w:p>
        </w:tc>
      </w:tr>
    </w:tbl>
    <w:tbl>
      <w:tblPr>
        <w:tblW w:type="auto" w:w="0"/>
        <w:jc w:val="center"/>
        <w:tblLayout w:type="fixed"/>
        <w:tblLook w:firstColumn="1" w:firstRow="1" w:lastColumn="0" w:lastRow="0" w:noHBand="0" w:noVBand="1" w:val="04A0"/>
      </w:tblPr>
      <w:tblGrid>
        <w:gridCol w:w="7848"/>
        <w:gridCol w:w="2232"/>
      </w:tblGrid>
      <w:tr>
        <w:tc>
          <w:tcPr>
            <w:tcW w:type="dxa" w:w="5234"/>
            <w:tcBorders>
              <w:bottom w:val="nil"/>
            </w:tcBorders>
          </w:tcPr>
          <w:p>
            <w:pPr>
              <w:spacing w:after="0"/>
            </w:pPr>
            <w:r>
              <w:rPr>
                <w:rFonts w:ascii="Arial" w:hAnsi="Arial"/>
                <w:b/>
                <w:i w:val="0"/>
                <w:color w:val="0A2239"/>
                <w:sz w:val="18"/>
              </w:rPr>
              <w:t>Head of Central Administration - Information Systems &amp; Digital Transformation</w:t>
            </w:r>
          </w:p>
        </w:tc>
        <w:tc>
          <w:tcPr>
            <w:tcW w:type="dxa" w:w="5234"/>
            <w:tcBorders>
              <w:bottom w:val="nil"/>
            </w:tcBorders>
          </w:tcPr>
          <w:p>
            <w:pPr>
              <w:spacing w:after="0"/>
              <w:jc w:val="right"/>
            </w:pPr>
            <w:r>
              <w:rPr>
                <w:rFonts w:ascii="Arial" w:hAnsi="Arial"/>
                <w:b/>
                <w:i w:val="0"/>
                <w:color w:val="C9A227"/>
                <w:sz w:val="15"/>
              </w:rPr>
              <w:t>May 2025 - Present</w:t>
            </w:r>
          </w:p>
        </w:tc>
      </w:tr>
      <w:tr>
        <w:tc>
          <w:tcPr>
            <w:tcW w:type="dxa" w:w="5234"/>
            <w:tcBorders>
              <w:bottom w:val="nil"/>
            </w:tcBorders>
          </w:tcPr>
          <w:p>
            <w:pPr>
              <w:spacing w:after="20"/>
            </w:pPr>
            <w:r>
              <w:rPr>
                <w:rFonts w:ascii="Arial" w:hAnsi="Arial"/>
                <w:b/>
                <w:i w:val="0"/>
                <w:color w:val="147D7A"/>
                <w:sz w:val="16"/>
              </w:rPr>
              <w:t>Egyptian Authority for Unified Procurement, Medical Supply &amp; Medical Technology (UPA) | Cairo, Egypt</w:t>
            </w:r>
          </w:p>
          <w:p>
            <w:pPr>
              <w:spacing w:after="20"/>
            </w:pPr>
            <w:r>
              <w:rPr>
                <w:rFonts w:ascii="Arial" w:hAnsi="Arial"/>
                <w:b w:val="0"/>
                <w:i/>
                <w:color w:val="5D6B78"/>
                <w:sz w:val="14"/>
              </w:rPr>
              <w:t>Market positioning: Technology &amp; Digital Transformation Executive | Enterprise Architect</w:t>
            </w:r>
          </w:p>
        </w:tc>
        <w:tc>
          <w:tcPr>
            <w:tcW w:type="dxa" w:w="5234"/>
            <w:tcBorders>
              <w:bottom w:val="nil"/>
            </w:tcBorders>
          </w:tcPr>
          <w:p/>
        </w:tc>
      </w:tr>
    </w:tbl>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Lead enterprise technology strategy and transformation across procurement, warehousing, inventory, demand planning, enterprise data, analytics, and government operations.</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Direct enterprise applications, data platforms, systems integration, analytics, technology infrastructure, vendor relationships, and service governance across a major government technology portfolio.</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Lead multidisciplinary teams of developers, analysts, architects, support professionals, vendors, and implementation partners.</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Establish delivery quality, access control, backup and recovery, auditability, release governance, and service standards across critical platforms supporting more than 100 government institutions.</w:t>
      </w:r>
    </w:p>
    <w:tbl>
      <w:tblPr>
        <w:tblW w:type="auto" w:w="0"/>
        <w:jc w:val="center"/>
        <w:tblLayout w:type="fixed"/>
        <w:tblLook w:firstColumn="1" w:firstRow="1" w:lastColumn="0" w:lastRow="0" w:noHBand="0" w:noVBand="1" w:val="04A0"/>
      </w:tblPr>
      <w:tblGrid>
        <w:gridCol w:w="7848"/>
        <w:gridCol w:w="2232"/>
      </w:tblGrid>
      <w:tr>
        <w:tc>
          <w:tcPr>
            <w:tcW w:type="dxa" w:w="5234"/>
            <w:tcBorders>
              <w:bottom w:val="nil"/>
            </w:tcBorders>
          </w:tcPr>
          <w:p>
            <w:pPr>
              <w:spacing w:after="0"/>
            </w:pPr>
            <w:r>
              <w:rPr>
                <w:rFonts w:ascii="Arial" w:hAnsi="Arial"/>
                <w:b/>
                <w:i w:val="0"/>
                <w:color w:val="0A2239"/>
                <w:sz w:val="18"/>
              </w:rPr>
              <w:t>General Manager - Systems, Applications &amp; Technical Support</w:t>
            </w:r>
          </w:p>
        </w:tc>
        <w:tc>
          <w:tcPr>
            <w:tcW w:type="dxa" w:w="5234"/>
            <w:tcBorders>
              <w:bottom w:val="nil"/>
            </w:tcBorders>
          </w:tcPr>
          <w:p>
            <w:pPr>
              <w:spacing w:after="0"/>
              <w:jc w:val="right"/>
            </w:pPr>
            <w:r>
              <w:rPr>
                <w:rFonts w:ascii="Arial" w:hAnsi="Arial"/>
                <w:b/>
                <w:i w:val="0"/>
                <w:color w:val="C9A227"/>
                <w:sz w:val="15"/>
              </w:rPr>
              <w:t>Oct 2020 - May 2025</w:t>
            </w:r>
          </w:p>
        </w:tc>
      </w:tr>
      <w:tr>
        <w:tc>
          <w:tcPr>
            <w:tcW w:type="dxa" w:w="5234"/>
            <w:tcBorders>
              <w:bottom w:val="nil"/>
            </w:tcBorders>
          </w:tcPr>
          <w:p>
            <w:pPr>
              <w:spacing w:after="20"/>
            </w:pPr>
            <w:r>
              <w:rPr>
                <w:rFonts w:ascii="Arial" w:hAnsi="Arial"/>
                <w:b/>
                <w:i w:val="0"/>
                <w:color w:val="147D7A"/>
                <w:sz w:val="16"/>
              </w:rPr>
              <w:t>Egyptian Authority for Unified Procurement (UPA) | Cairo, Egypt</w:t>
            </w:r>
          </w:p>
        </w:tc>
        <w:tc>
          <w:tcPr>
            <w:tcW w:type="dxa" w:w="5234"/>
            <w:tcBorders>
              <w:bottom w:val="nil"/>
            </w:tcBorders>
          </w:tcPr>
          <w:p/>
        </w:tc>
      </w:tr>
    </w:tbl>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Directed implementation, modernization, maintenance, and high-availability support for procurement, medical supply, inventory, reporting, and stakeholder platforms.</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Approximately tripled departmental delivery capacity through OKR-based performance management, mentoring, technical enablement, and standardized delivery processes.</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Governed multi-agency technology coordination for Egypt's National Pharmaceutical Track &amp; Trace Program and supported ministerial oversight of national blood-supply operations.</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Championed nationwide digital adoption, technical support, and upskilling initiatives across the public-sector procurement and medical-supply network.</w:t>
      </w:r>
    </w:p>
    <w:p>
      <w:r>
        <w:br w:type="page"/>
      </w:r>
    </w:p>
    <w:tbl>
      <w:tblPr>
        <w:tblW w:type="auto" w:w="0"/>
        <w:jc w:val="center"/>
        <w:tblLook w:firstColumn="1" w:firstRow="1" w:lastColumn="0" w:lastRow="0" w:noHBand="0" w:noVBand="1" w:val="04A0"/>
      </w:tblPr>
      <w:tblGrid>
        <w:gridCol w:w="259"/>
        <w:gridCol w:w="9936"/>
      </w:tblGrid>
      <w:tr>
        <w:tc>
          <w:tcPr>
            <w:tcW w:type="dxa" w:w="5234"/>
            <w:shd w:fill="C9A227"/>
          </w:tcPr>
          <w:p/>
        </w:tc>
        <w:tc>
          <w:tcPr>
            <w:tcW w:type="dxa" w:w="5234"/>
            <w:shd w:fill="0A2239"/>
          </w:tcPr>
          <w:p>
            <w:pPr>
              <w:spacing w:before="30" w:after="30"/>
            </w:pPr>
            <w:r>
              <w:rPr>
                <w:rFonts w:ascii="Arial" w:hAnsi="Arial"/>
                <w:b/>
                <w:i w:val="0"/>
                <w:color w:val="FFFFFF"/>
                <w:sz w:val="19"/>
              </w:rPr>
              <w:t>PROFESSIONAL EXPERIENCE - CONTINUED</w:t>
            </w:r>
          </w:p>
        </w:tc>
      </w:tr>
    </w:tbl>
    <w:tbl>
      <w:tblPr>
        <w:tblW w:type="auto" w:w="0"/>
        <w:jc w:val="center"/>
        <w:tblLayout w:type="fixed"/>
        <w:tblLook w:firstColumn="1" w:firstRow="1" w:lastColumn="0" w:lastRow="0" w:noHBand="0" w:noVBand="1" w:val="04A0"/>
      </w:tblPr>
      <w:tblGrid>
        <w:gridCol w:w="7848"/>
        <w:gridCol w:w="2232"/>
      </w:tblGrid>
      <w:tr>
        <w:tc>
          <w:tcPr>
            <w:tcW w:type="dxa" w:w="5234"/>
            <w:tcBorders>
              <w:bottom w:val="nil"/>
            </w:tcBorders>
          </w:tcPr>
          <w:p>
            <w:pPr>
              <w:spacing w:after="0"/>
            </w:pPr>
            <w:r>
              <w:rPr>
                <w:rFonts w:ascii="Arial" w:hAnsi="Arial"/>
                <w:b/>
                <w:i w:val="0"/>
                <w:color w:val="0A2239"/>
                <w:sz w:val="18"/>
              </w:rPr>
              <w:t>Development Team Leader &amp; Senior Full-Stack Developer</w:t>
            </w:r>
          </w:p>
        </w:tc>
        <w:tc>
          <w:tcPr>
            <w:tcW w:type="dxa" w:w="5234"/>
            <w:tcBorders>
              <w:bottom w:val="nil"/>
            </w:tcBorders>
          </w:tcPr>
          <w:p>
            <w:pPr>
              <w:spacing w:after="0"/>
              <w:jc w:val="right"/>
            </w:pPr>
            <w:r>
              <w:rPr>
                <w:rFonts w:ascii="Arial" w:hAnsi="Arial"/>
                <w:b/>
                <w:i w:val="0"/>
                <w:color w:val="C9A227"/>
                <w:sz w:val="15"/>
              </w:rPr>
              <w:t>May 2016 - Oct 2020</w:t>
            </w:r>
          </w:p>
        </w:tc>
      </w:tr>
      <w:tr>
        <w:tc>
          <w:tcPr>
            <w:tcW w:type="dxa" w:w="5234"/>
            <w:tcBorders>
              <w:bottom w:val="nil"/>
            </w:tcBorders>
          </w:tcPr>
          <w:p>
            <w:pPr>
              <w:spacing w:after="20"/>
            </w:pPr>
            <w:r>
              <w:rPr>
                <w:rFonts w:ascii="Arial" w:hAnsi="Arial"/>
                <w:b/>
                <w:i w:val="0"/>
                <w:color w:val="147D7A"/>
                <w:sz w:val="16"/>
              </w:rPr>
              <w:t>Integral Solutions LLC | Muscat, Oman</w:t>
            </w:r>
          </w:p>
        </w:tc>
        <w:tc>
          <w:tcPr>
            <w:tcW w:type="dxa" w:w="5234"/>
            <w:tcBorders>
              <w:bottom w:val="nil"/>
            </w:tcBorders>
          </w:tcPr>
          <w:p/>
        </w:tc>
      </w:tr>
    </w:tbl>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Led cross-border engineering teams of 10+ developers and delivered 15+ full-cycle enterprise platforms for government, healthcare, education, and corporate clients across Oman and the GCC.</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Delivered the Oman National Educational Portal, supporting e-learning, content management, academic records, administration, and performance tracking.</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Architected secure, scalable platforms using ASP.NET, C#, React.js, Node.js, SQL Server, MySQL, and Web APIs; introduced agile delivery, code review, documentation, and QA practices.</w:t>
      </w:r>
    </w:p>
    <w:tbl>
      <w:tblPr>
        <w:tblW w:type="auto" w:w="0"/>
        <w:jc w:val="center"/>
        <w:tblLayout w:type="fixed"/>
        <w:tblLook w:firstColumn="1" w:firstRow="1" w:lastColumn="0" w:lastRow="0" w:noHBand="0" w:noVBand="1" w:val="04A0"/>
      </w:tblPr>
      <w:tblGrid>
        <w:gridCol w:w="7848"/>
        <w:gridCol w:w="2232"/>
      </w:tblGrid>
      <w:tr>
        <w:tc>
          <w:tcPr>
            <w:tcW w:type="dxa" w:w="5234"/>
            <w:tcBorders>
              <w:bottom w:val="nil"/>
            </w:tcBorders>
          </w:tcPr>
          <w:p>
            <w:pPr>
              <w:spacing w:after="0"/>
            </w:pPr>
            <w:r>
              <w:rPr>
                <w:rFonts w:ascii="Arial" w:hAnsi="Arial"/>
                <w:b/>
                <w:i w:val="0"/>
                <w:color w:val="0A2239"/>
                <w:sz w:val="18"/>
              </w:rPr>
              <w:t>Development Team Leader &amp; Senior Full-Stack Developer</w:t>
            </w:r>
          </w:p>
        </w:tc>
        <w:tc>
          <w:tcPr>
            <w:tcW w:type="dxa" w:w="5234"/>
            <w:tcBorders>
              <w:bottom w:val="nil"/>
            </w:tcBorders>
          </w:tcPr>
          <w:p>
            <w:pPr>
              <w:spacing w:after="0"/>
              <w:jc w:val="right"/>
            </w:pPr>
            <w:r>
              <w:rPr>
                <w:rFonts w:ascii="Arial" w:hAnsi="Arial"/>
                <w:b/>
                <w:i w:val="0"/>
                <w:color w:val="C9A227"/>
                <w:sz w:val="15"/>
              </w:rPr>
              <w:t>Apr 2011 - May 2016</w:t>
            </w:r>
          </w:p>
        </w:tc>
      </w:tr>
      <w:tr>
        <w:tc>
          <w:tcPr>
            <w:tcW w:type="dxa" w:w="5234"/>
            <w:tcBorders>
              <w:bottom w:val="nil"/>
            </w:tcBorders>
          </w:tcPr>
          <w:p>
            <w:pPr>
              <w:spacing w:after="20"/>
            </w:pPr>
            <w:r>
              <w:rPr>
                <w:rFonts w:ascii="Arial" w:hAnsi="Arial"/>
                <w:b/>
                <w:i w:val="0"/>
                <w:color w:val="147D7A"/>
                <w:sz w:val="16"/>
              </w:rPr>
              <w:t>Keyframe Egypt | Cairo, Egypt</w:t>
            </w:r>
          </w:p>
        </w:tc>
        <w:tc>
          <w:tcPr>
            <w:tcW w:type="dxa" w:w="5234"/>
            <w:tcBorders>
              <w:bottom w:val="nil"/>
            </w:tcBorders>
          </w:tcPr>
          <w:p/>
        </w:tc>
      </w:tr>
    </w:tbl>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Delivered 100+ public portals, enterprise applications, corporate websites, and digital service platforms across government, healthcare, education, construction, automotive, events, and commercial sectors.</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Designed REST API integrations, responsive interfaces, database performance improvements, and technical documentation adopted as team standards.</w:t>
      </w:r>
    </w:p>
    <w:tbl>
      <w:tblPr>
        <w:tblW w:type="auto" w:w="0"/>
        <w:jc w:val="center"/>
        <w:tblLayout w:type="fixed"/>
        <w:tblLook w:firstColumn="1" w:firstRow="1" w:lastColumn="0" w:lastRow="0" w:noHBand="0" w:noVBand="1" w:val="04A0"/>
      </w:tblPr>
      <w:tblGrid>
        <w:gridCol w:w="7848"/>
        <w:gridCol w:w="2232"/>
      </w:tblGrid>
      <w:tr>
        <w:tc>
          <w:tcPr>
            <w:tcW w:type="dxa" w:w="5234"/>
            <w:tcBorders>
              <w:bottom w:val="nil"/>
            </w:tcBorders>
          </w:tcPr>
          <w:p>
            <w:pPr>
              <w:spacing w:after="0"/>
            </w:pPr>
            <w:r>
              <w:rPr>
                <w:rFonts w:ascii="Arial" w:hAnsi="Arial"/>
                <w:b/>
                <w:i w:val="0"/>
                <w:color w:val="0A2239"/>
                <w:sz w:val="18"/>
              </w:rPr>
              <w:t>Linux Systems &amp; Web Developer</w:t>
            </w:r>
          </w:p>
        </w:tc>
        <w:tc>
          <w:tcPr>
            <w:tcW w:type="dxa" w:w="5234"/>
            <w:tcBorders>
              <w:bottom w:val="nil"/>
            </w:tcBorders>
          </w:tcPr>
          <w:p>
            <w:pPr>
              <w:spacing w:after="0"/>
              <w:jc w:val="right"/>
            </w:pPr>
            <w:r>
              <w:rPr>
                <w:rFonts w:ascii="Arial" w:hAnsi="Arial"/>
                <w:b/>
                <w:i w:val="0"/>
                <w:color w:val="C9A227"/>
                <w:sz w:val="15"/>
              </w:rPr>
              <w:t>Apr 2008 - Oct 2010</w:t>
            </w:r>
          </w:p>
        </w:tc>
      </w:tr>
      <w:tr>
        <w:tc>
          <w:tcPr>
            <w:tcW w:type="dxa" w:w="5234"/>
            <w:tcBorders>
              <w:bottom w:val="nil"/>
            </w:tcBorders>
          </w:tcPr>
          <w:p>
            <w:pPr>
              <w:spacing w:after="20"/>
            </w:pPr>
            <w:r>
              <w:rPr>
                <w:rFonts w:ascii="Arial" w:hAnsi="Arial"/>
                <w:b/>
                <w:i w:val="0"/>
                <w:color w:val="147D7A"/>
                <w:sz w:val="16"/>
              </w:rPr>
              <w:t>Egyptian Armed Forces | Egypt</w:t>
            </w:r>
          </w:p>
        </w:tc>
        <w:tc>
          <w:tcPr>
            <w:tcW w:type="dxa" w:w="5234"/>
            <w:tcBorders>
              <w:bottom w:val="nil"/>
            </w:tcBorders>
          </w:tcPr>
          <w:p/>
        </w:tc>
      </w:tr>
    </w:tbl>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Developed and customized Linux-based systems within a restricted defense environment, including Linux from Scratch builds, kernel modules, system optimization, and hardened platform configurations.</w:t>
      </w:r>
    </w:p>
    <w:p>
      <w:pPr>
        <w:spacing w:after="22" w:line="240" w:lineRule="auto"/>
        <w:ind w:left="230" w:hanging="173"/>
      </w:pPr>
      <w:r>
        <w:rPr>
          <w:rFonts w:ascii="Arial" w:hAnsi="Arial"/>
          <w:b/>
          <w:i w:val="0"/>
          <w:color w:val="0AA6B4"/>
          <w:sz w:val="16"/>
        </w:rPr>
        <w:t xml:space="preserve">• </w:t>
      </w:r>
      <w:r>
        <w:rPr>
          <w:rFonts w:ascii="Arial" w:hAnsi="Arial"/>
          <w:b w:val="0"/>
          <w:i w:val="0"/>
          <w:color w:val="243746"/>
          <w:sz w:val="16"/>
        </w:rPr>
        <w:t>Built secure internal web applications using ASP.NET and SQL Server, maintaining strong security, code integrity, and operational reliability.</w:t>
      </w:r>
    </w:p>
    <w:tbl>
      <w:tblPr>
        <w:tblW w:type="auto" w:w="0"/>
        <w:jc w:val="center"/>
        <w:tblLook w:firstColumn="1" w:firstRow="1" w:lastColumn="0" w:lastRow="0" w:noHBand="0" w:noVBand="1" w:val="04A0"/>
      </w:tblPr>
      <w:tblGrid>
        <w:gridCol w:w="259"/>
        <w:gridCol w:w="9936"/>
      </w:tblGrid>
      <w:tr>
        <w:tc>
          <w:tcPr>
            <w:tcW w:type="dxa" w:w="5234"/>
            <w:shd w:fill="C9A227"/>
          </w:tcPr>
          <w:p/>
        </w:tc>
        <w:tc>
          <w:tcPr>
            <w:tcW w:type="dxa" w:w="5234"/>
            <w:shd w:fill="0A2239"/>
          </w:tcPr>
          <w:p>
            <w:pPr>
              <w:spacing w:before="30" w:after="30"/>
            </w:pPr>
            <w:r>
              <w:rPr>
                <w:rFonts w:ascii="Arial" w:hAnsi="Arial"/>
                <w:b/>
                <w:i w:val="0"/>
                <w:color w:val="FFFFFF"/>
                <w:sz w:val="19"/>
              </w:rPr>
              <w:t>LEADERSHIP APPOINTMENTS &amp; PROFESSIONAL CONTRIBUTIONS</w:t>
            </w:r>
          </w:p>
        </w:tc>
      </w:tr>
    </w:tbl>
    <w:p>
      <w:pPr>
        <w:spacing w:after="26" w:line="240" w:lineRule="auto"/>
        <w:ind w:left="230" w:hanging="173"/>
      </w:pPr>
      <w:r>
        <w:rPr>
          <w:rFonts w:ascii="Arial" w:hAnsi="Arial"/>
          <w:b/>
          <w:i w:val="0"/>
          <w:color w:val="0AA6B4"/>
          <w:sz w:val="16"/>
        </w:rPr>
        <w:t xml:space="preserve">• </w:t>
      </w:r>
      <w:r>
        <w:rPr>
          <w:rFonts w:ascii="Arial" w:hAnsi="Arial"/>
          <w:b w:val="0"/>
          <w:i w:val="0"/>
          <w:color w:val="243746"/>
          <w:sz w:val="16"/>
        </w:rPr>
        <w:t>Digital Transformation Committee Member - World Bank Group B-READY Egypt Assessment (2025-2026).</w:t>
      </w:r>
    </w:p>
    <w:p>
      <w:pPr>
        <w:spacing w:after="26" w:line="240" w:lineRule="auto"/>
        <w:ind w:left="230" w:hanging="173"/>
      </w:pPr>
      <w:r>
        <w:rPr>
          <w:rFonts w:ascii="Arial" w:hAnsi="Arial"/>
          <w:b/>
          <w:i w:val="0"/>
          <w:color w:val="0AA6B4"/>
          <w:sz w:val="16"/>
        </w:rPr>
        <w:t xml:space="preserve">• </w:t>
      </w:r>
      <w:r>
        <w:rPr>
          <w:rFonts w:ascii="Arial" w:hAnsi="Arial"/>
          <w:b w:val="0"/>
          <w:i w:val="0"/>
          <w:color w:val="243746"/>
          <w:sz w:val="16"/>
        </w:rPr>
        <w:t>Board Member - National Blood Operations Oversight, appointed by Egypt's Minister of Health (2021-2024).</w:t>
      </w:r>
    </w:p>
    <w:p>
      <w:pPr>
        <w:spacing w:after="26" w:line="240" w:lineRule="auto"/>
        <w:ind w:left="230" w:hanging="173"/>
      </w:pPr>
      <w:r>
        <w:rPr>
          <w:rFonts w:ascii="Arial" w:hAnsi="Arial"/>
          <w:b/>
          <w:i w:val="0"/>
          <w:color w:val="0AA6B4"/>
          <w:sz w:val="16"/>
        </w:rPr>
        <w:t xml:space="preserve">• </w:t>
      </w:r>
      <w:r>
        <w:rPr>
          <w:rFonts w:ascii="Arial" w:hAnsi="Arial"/>
          <w:b w:val="0"/>
          <w:i w:val="0"/>
          <w:color w:val="243746"/>
          <w:sz w:val="16"/>
        </w:rPr>
        <w:t>Governance Lead - National Pharmaceutical Track &amp; Trace Program, UPA / EDA / Ministry of Health (2021-2024).</w:t>
      </w:r>
    </w:p>
    <w:p>
      <w:pPr>
        <w:spacing w:after="26" w:line="240" w:lineRule="auto"/>
        <w:ind w:left="230" w:hanging="173"/>
      </w:pPr>
      <w:r>
        <w:rPr>
          <w:rFonts w:ascii="Arial" w:hAnsi="Arial"/>
          <w:b/>
          <w:i w:val="0"/>
          <w:color w:val="0AA6B4"/>
          <w:sz w:val="16"/>
        </w:rPr>
        <w:t xml:space="preserve">• </w:t>
      </w:r>
      <w:r>
        <w:rPr>
          <w:rFonts w:ascii="Arial" w:hAnsi="Arial"/>
          <w:b w:val="0"/>
          <w:i w:val="0"/>
          <w:color w:val="243746"/>
          <w:sz w:val="16"/>
        </w:rPr>
        <w:t>International Speaker - Bioinformatics &amp; Digital Health, Manama Health Congress &amp; Expo, Bahrain (2022).</w:t>
      </w:r>
    </w:p>
    <w:p>
      <w:pPr>
        <w:spacing w:after="26" w:line="240" w:lineRule="auto"/>
        <w:ind w:left="230" w:hanging="173"/>
      </w:pPr>
      <w:r>
        <w:rPr>
          <w:rFonts w:ascii="Arial" w:hAnsi="Arial"/>
          <w:b/>
          <w:i w:val="0"/>
          <w:color w:val="0AA6B4"/>
          <w:sz w:val="16"/>
        </w:rPr>
        <w:t xml:space="preserve">• </w:t>
      </w:r>
      <w:r>
        <w:rPr>
          <w:rFonts w:ascii="Arial" w:hAnsi="Arial"/>
          <w:b w:val="0"/>
          <w:i w:val="0"/>
          <w:color w:val="243746"/>
          <w:sz w:val="16"/>
        </w:rPr>
        <w:t>Digital Health &amp; Technology Contributor - Africa Health ExCon, Cairo (2021-Present).</w:t>
      </w:r>
    </w:p>
    <w:tbl>
      <w:tblPr>
        <w:tblW w:type="auto" w:w="0"/>
        <w:jc w:val="center"/>
        <w:tblLook w:firstColumn="1" w:firstRow="1" w:lastColumn="0" w:lastRow="0" w:noHBand="0" w:noVBand="1" w:val="04A0"/>
      </w:tblPr>
      <w:tblGrid>
        <w:gridCol w:w="259"/>
        <w:gridCol w:w="9936"/>
      </w:tblGrid>
      <w:tr>
        <w:tc>
          <w:tcPr>
            <w:tcW w:type="dxa" w:w="5234"/>
            <w:shd w:fill="C9A227"/>
          </w:tcPr>
          <w:p/>
        </w:tc>
        <w:tc>
          <w:tcPr>
            <w:tcW w:type="dxa" w:w="5234"/>
            <w:shd w:fill="0A2239"/>
          </w:tcPr>
          <w:p>
            <w:pPr>
              <w:spacing w:before="30" w:after="30"/>
            </w:pPr>
            <w:r>
              <w:rPr>
                <w:rFonts w:ascii="Arial" w:hAnsi="Arial"/>
                <w:b/>
                <w:i w:val="0"/>
                <w:color w:val="FFFFFF"/>
                <w:sz w:val="19"/>
              </w:rPr>
              <w:t>SELECTED ENTERPRISE PLATFORMS &amp; TRANSFORMATION PROGRAMS</w:t>
            </w:r>
          </w:p>
        </w:tc>
      </w:tr>
    </w:tbl>
    <w:p>
      <w:pPr>
        <w:spacing w:before="30" w:after="14"/>
      </w:pPr>
      <w:r>
        <w:rPr>
          <w:rFonts w:ascii="Arial" w:hAnsi="Arial"/>
          <w:b/>
          <w:i w:val="0"/>
          <w:color w:val="0A2239"/>
          <w:sz w:val="17"/>
        </w:rPr>
        <w:t>MedIQ / Unified Procurement &amp; Medical Supply Ecosystem</w:t>
      </w:r>
    </w:p>
    <w:p>
      <w:pPr>
        <w:spacing w:after="16" w:line="240" w:lineRule="auto"/>
      </w:pPr>
      <w:r>
        <w:rPr>
          <w:rFonts w:ascii="Arial" w:hAnsi="Arial"/>
          <w:b w:val="0"/>
          <w:i w:val="0"/>
          <w:color w:val="243746"/>
          <w:sz w:val="16"/>
        </w:rPr>
        <w:t>Led architecture and governance of an integrated 10-platform ecosystem supporting RFPs, approvals, inventory, distribution, supplier processes, and supply-chain controls across 12,000+ public-sector entities. The environment processed 320,000+ automated validation checks and strengthened transparency, planning, and stock visibility.</w:t>
      </w:r>
    </w:p>
    <w:p>
      <w:pPr>
        <w:spacing w:after="28"/>
      </w:pPr>
      <w:r>
        <w:rPr>
          <w:rFonts w:ascii="Arial" w:hAnsi="Arial"/>
          <w:b/>
          <w:i w:val="0"/>
          <w:color w:val="C9A227"/>
          <w:sz w:val="15"/>
        </w:rPr>
        <w:t xml:space="preserve">Selected technology: </w:t>
      </w:r>
      <w:r>
        <w:rPr>
          <w:rFonts w:ascii="Arial" w:hAnsi="Arial"/>
          <w:b w:val="0"/>
          <w:i w:val="0"/>
          <w:color w:val="5D6B78"/>
          <w:sz w:val="15"/>
        </w:rPr>
        <w:t>ASP.NET, C#, React.js, Node.js, GraphQL, MySQL, APIs</w:t>
      </w:r>
    </w:p>
    <w:p>
      <w:pPr>
        <w:spacing w:before="30" w:after="14"/>
      </w:pPr>
      <w:r>
        <w:rPr>
          <w:rFonts w:ascii="Arial" w:hAnsi="Arial"/>
          <w:b/>
          <w:i w:val="0"/>
          <w:color w:val="0A2239"/>
          <w:sz w:val="17"/>
        </w:rPr>
        <w:t>Egypt National Health Sector Data Warehouse &amp; Analytics Layer</w:t>
      </w:r>
    </w:p>
    <w:p>
      <w:pPr>
        <w:spacing w:after="16" w:line="240" w:lineRule="auto"/>
      </w:pPr>
      <w:r>
        <w:rPr>
          <w:rFonts w:ascii="Arial" w:hAnsi="Arial"/>
          <w:b w:val="0"/>
          <w:i w:val="0"/>
          <w:color w:val="243746"/>
          <w:sz w:val="16"/>
        </w:rPr>
        <w:t>Led architecture of a governed enterprise data environment with PostgreSQL, data pipelines, master data, operational data stores, validation controls, Power BI, and Apache Superset. The reporting layer processes 12M+ records daily and contributed to approximately 70% faster executive reporting preparation.</w:t>
      </w:r>
    </w:p>
    <w:p>
      <w:pPr>
        <w:spacing w:after="28"/>
      </w:pPr>
      <w:r>
        <w:rPr>
          <w:rFonts w:ascii="Arial" w:hAnsi="Arial"/>
          <w:b/>
          <w:i w:val="0"/>
          <w:color w:val="C9A227"/>
          <w:sz w:val="15"/>
        </w:rPr>
        <w:t xml:space="preserve">Selected technology: </w:t>
      </w:r>
      <w:r>
        <w:rPr>
          <w:rFonts w:ascii="Arial" w:hAnsi="Arial"/>
          <w:b w:val="0"/>
          <w:i w:val="0"/>
          <w:color w:val="5D6B78"/>
          <w:sz w:val="15"/>
        </w:rPr>
        <w:t>PostgreSQL, SQL, Data Pipelines, MDM, ODS, Power BI, Apache Superset</w:t>
      </w:r>
    </w:p>
    <w:p>
      <w:pPr>
        <w:spacing w:before="30" w:after="14"/>
      </w:pPr>
      <w:r>
        <w:rPr>
          <w:rFonts w:ascii="Arial" w:hAnsi="Arial"/>
          <w:b/>
          <w:i w:val="0"/>
          <w:color w:val="0A2239"/>
          <w:sz w:val="17"/>
        </w:rPr>
        <w:t>National Pharmaceutical Track &amp; Trace Program</w:t>
      </w:r>
    </w:p>
    <w:p>
      <w:pPr>
        <w:spacing w:after="16" w:line="240" w:lineRule="auto"/>
      </w:pPr>
      <w:r>
        <w:rPr>
          <w:rFonts w:ascii="Arial" w:hAnsi="Arial"/>
          <w:b w:val="0"/>
          <w:i w:val="0"/>
          <w:color w:val="243746"/>
          <w:sz w:val="16"/>
        </w:rPr>
        <w:t>Shaped program vision, governance, compliance model, cross-agency coordination, interoperability principles, and the technology roadmap across UPA, the Egyptian Drug Authority, and the Ministry of Health.</w:t>
      </w:r>
    </w:p>
    <w:p>
      <w:pPr>
        <w:spacing w:after="28"/>
      </w:pPr>
      <w:r>
        <w:rPr>
          <w:rFonts w:ascii="Arial" w:hAnsi="Arial"/>
          <w:b/>
          <w:i w:val="0"/>
          <w:color w:val="C9A227"/>
          <w:sz w:val="15"/>
        </w:rPr>
        <w:t xml:space="preserve">Selected technology: </w:t>
      </w:r>
      <w:r>
        <w:rPr>
          <w:rFonts w:ascii="Arial" w:hAnsi="Arial"/>
          <w:b w:val="0"/>
          <w:i w:val="0"/>
          <w:color w:val="5D6B78"/>
          <w:sz w:val="15"/>
        </w:rPr>
        <w:t>Governance, Compliance, Interoperability, Program Roadmap</w:t>
      </w:r>
    </w:p>
    <w:p>
      <w:pPr>
        <w:spacing w:before="30" w:after="14"/>
      </w:pPr>
      <w:r>
        <w:rPr>
          <w:rFonts w:ascii="Arial" w:hAnsi="Arial"/>
          <w:b/>
          <w:i w:val="0"/>
          <w:color w:val="0A2239"/>
          <w:sz w:val="17"/>
        </w:rPr>
        <w:t>Oman National Educational Portal</w:t>
      </w:r>
    </w:p>
    <w:p>
      <w:pPr>
        <w:spacing w:after="16" w:line="240" w:lineRule="auto"/>
      </w:pPr>
      <w:r>
        <w:rPr>
          <w:rFonts w:ascii="Arial" w:hAnsi="Arial"/>
          <w:b w:val="0"/>
          <w:i w:val="0"/>
          <w:color w:val="243746"/>
          <w:sz w:val="16"/>
        </w:rPr>
        <w:t>Led full-cycle delivery and cross-border engineering coordination for a large-scale e-learning and academic-management platform aligned with local e-government standards.</w:t>
      </w:r>
    </w:p>
    <w:p>
      <w:pPr>
        <w:spacing w:after="28"/>
      </w:pPr>
      <w:r>
        <w:rPr>
          <w:rFonts w:ascii="Arial" w:hAnsi="Arial"/>
          <w:b/>
          <w:i w:val="0"/>
          <w:color w:val="C9A227"/>
          <w:sz w:val="15"/>
        </w:rPr>
        <w:t xml:space="preserve">Selected technology: </w:t>
      </w:r>
      <w:r>
        <w:rPr>
          <w:rFonts w:ascii="Arial" w:hAnsi="Arial"/>
          <w:b w:val="0"/>
          <w:i w:val="0"/>
          <w:color w:val="5D6B78"/>
          <w:sz w:val="15"/>
        </w:rPr>
        <w:t>ASP.NET, C#, SQL Server, LMS, CMS, Dashboards</w:t>
      </w:r>
    </w:p>
    <w:p>
      <w:pPr>
        <w:spacing w:before="30" w:after="14"/>
      </w:pPr>
      <w:r>
        <w:rPr>
          <w:rFonts w:ascii="Arial" w:hAnsi="Arial"/>
          <w:b/>
          <w:i w:val="0"/>
          <w:color w:val="0A2239"/>
          <w:sz w:val="17"/>
        </w:rPr>
        <w:t>Health Technology Assessment Platform</w:t>
      </w:r>
    </w:p>
    <w:p>
      <w:pPr>
        <w:spacing w:after="16" w:line="240" w:lineRule="auto"/>
      </w:pPr>
      <w:r>
        <w:rPr>
          <w:rFonts w:ascii="Arial" w:hAnsi="Arial"/>
          <w:b w:val="0"/>
          <w:i w:val="0"/>
          <w:color w:val="243746"/>
          <w:sz w:val="16"/>
        </w:rPr>
        <w:t>Directed digitization of evidence submission, controlled review, assessment tracking, role-based access, audit traceability, dashboards, and compliance reporting.</w:t>
      </w:r>
    </w:p>
    <w:p>
      <w:pPr>
        <w:spacing w:after="28"/>
      </w:pPr>
      <w:r>
        <w:rPr>
          <w:rFonts w:ascii="Arial" w:hAnsi="Arial"/>
          <w:b/>
          <w:i w:val="0"/>
          <w:color w:val="C9A227"/>
          <w:sz w:val="15"/>
        </w:rPr>
        <w:t xml:space="preserve">Selected technology: </w:t>
      </w:r>
      <w:r>
        <w:rPr>
          <w:rFonts w:ascii="Arial" w:hAnsi="Arial"/>
          <w:b w:val="0"/>
          <w:i w:val="0"/>
          <w:color w:val="5D6B78"/>
          <w:sz w:val="15"/>
        </w:rPr>
        <w:t>Workflow Engine, Dashboards, Audit Logs, RBAC, Compliance Reporting</w:t>
      </w:r>
    </w:p>
    <w:tbl>
      <w:tblPr>
        <w:tblW w:type="auto" w:w="0"/>
        <w:jc w:val="center"/>
        <w:tblLook w:firstColumn="1" w:firstRow="1" w:lastColumn="0" w:lastRow="0" w:noHBand="0" w:noVBand="1" w:val="04A0"/>
      </w:tblPr>
      <w:tblGrid>
        <w:gridCol w:w="259"/>
        <w:gridCol w:w="9936"/>
      </w:tblGrid>
      <w:tr>
        <w:tc>
          <w:tcPr>
            <w:tcW w:type="dxa" w:w="5234"/>
            <w:shd w:fill="C9A227"/>
          </w:tcPr>
          <w:p/>
        </w:tc>
        <w:tc>
          <w:tcPr>
            <w:tcW w:type="dxa" w:w="5234"/>
            <w:shd w:fill="0A2239"/>
          </w:tcPr>
          <w:p>
            <w:pPr>
              <w:spacing w:before="30" w:after="30"/>
            </w:pPr>
            <w:r>
              <w:rPr>
                <w:rFonts w:ascii="Arial" w:hAnsi="Arial"/>
                <w:b/>
                <w:i w:val="0"/>
                <w:color w:val="FFFFFF"/>
                <w:sz w:val="19"/>
              </w:rPr>
              <w:t>TECHNICAL &amp; DELIVERY CAPABILITIES</w:t>
            </w:r>
          </w:p>
        </w:tc>
      </w:tr>
    </w:tbl>
    <w:p>
      <w:pPr>
        <w:spacing w:after="14"/>
      </w:pPr>
      <w:r>
        <w:rPr>
          <w:rFonts w:ascii="Arial" w:hAnsi="Arial"/>
          <w:b/>
          <w:i w:val="0"/>
          <w:color w:val="0A2239"/>
          <w:sz w:val="16"/>
        </w:rPr>
        <w:t xml:space="preserve">Executive &amp; Governance: </w:t>
      </w:r>
      <w:r>
        <w:rPr>
          <w:rFonts w:ascii="Arial" w:hAnsi="Arial"/>
          <w:b w:val="0"/>
          <w:i w:val="0"/>
          <w:color w:val="243746"/>
          <w:sz w:val="16"/>
        </w:rPr>
        <w:t>Technology Strategy, Digital Transformation, IT Operating Models, Enterprise Architecture, Portfolio Governance, Vendor Governance, Executive Stakeholder Management, Program Governance, Change &amp; Adoption</w:t>
      </w:r>
    </w:p>
    <w:p>
      <w:pPr>
        <w:spacing w:after="14"/>
      </w:pPr>
      <w:r>
        <w:rPr>
          <w:rFonts w:ascii="Arial" w:hAnsi="Arial"/>
          <w:b/>
          <w:i w:val="0"/>
          <w:color w:val="0A2239"/>
          <w:sz w:val="16"/>
        </w:rPr>
        <w:t xml:space="preserve">Architecture &amp; Integration: </w:t>
      </w:r>
      <w:r>
        <w:rPr>
          <w:rFonts w:ascii="Arial" w:hAnsi="Arial"/>
          <w:b w:val="0"/>
          <w:i w:val="0"/>
          <w:color w:val="243746"/>
          <w:sz w:val="16"/>
        </w:rPr>
        <w:t>Capability Mapping, Target-State Architecture, Solution Architecture, REST APIs, GraphQL, Integration Governance, Data Contracts, Microsoft Dynamics 365 ERP/CRM Integration, Application Modernization</w:t>
      </w:r>
    </w:p>
    <w:p>
      <w:pPr>
        <w:spacing w:after="14"/>
      </w:pPr>
      <w:r>
        <w:rPr>
          <w:rFonts w:ascii="Arial" w:hAnsi="Arial"/>
          <w:b/>
          <w:i w:val="0"/>
          <w:color w:val="0A2239"/>
          <w:sz w:val="16"/>
        </w:rPr>
        <w:t xml:space="preserve">Data &amp; Analytics: </w:t>
      </w:r>
      <w:r>
        <w:rPr>
          <w:rFonts w:ascii="Arial" w:hAnsi="Arial"/>
          <w:b w:val="0"/>
          <w:i w:val="0"/>
          <w:color w:val="243746"/>
          <w:sz w:val="16"/>
        </w:rPr>
        <w:t>PostgreSQL, SQL Server, MySQL, Data Pipelines, Master Data Management, Operational Data Stores, Data Governance, Power BI, Apache Superset, Forecasting Support, Risk &amp; Anomaly Analysis</w:t>
      </w:r>
    </w:p>
    <w:p>
      <w:pPr>
        <w:spacing w:after="14"/>
      </w:pPr>
      <w:r>
        <w:rPr>
          <w:rFonts w:ascii="Arial" w:hAnsi="Arial"/>
          <w:b/>
          <w:i w:val="0"/>
          <w:color w:val="0A2239"/>
          <w:sz w:val="16"/>
        </w:rPr>
        <w:t xml:space="preserve">Engineering &amp; Delivery: </w:t>
      </w:r>
      <w:r>
        <w:rPr>
          <w:rFonts w:ascii="Arial" w:hAnsi="Arial"/>
          <w:b w:val="0"/>
          <w:i w:val="0"/>
          <w:color w:val="243746"/>
          <w:sz w:val="16"/>
        </w:rPr>
        <w:t>C#, ASP.NET Core, .NET Framework, Entity Framework, React.js, Node.js, JavaScript, HTML5, CSS3, Agile, SDLC, QA, Git, Docker, Jenkins, CI/CD, Jira, Postman</w:t>
      </w:r>
    </w:p>
    <w:p>
      <w:pPr>
        <w:spacing w:after="14"/>
      </w:pPr>
      <w:r>
        <w:rPr>
          <w:rFonts w:ascii="Arial" w:hAnsi="Arial"/>
          <w:b/>
          <w:i w:val="0"/>
          <w:color w:val="0A2239"/>
          <w:sz w:val="16"/>
        </w:rPr>
        <w:t xml:space="preserve">Security &amp; Operations: </w:t>
      </w:r>
      <w:r>
        <w:rPr>
          <w:rFonts w:ascii="Arial" w:hAnsi="Arial"/>
          <w:b w:val="0"/>
          <w:i w:val="0"/>
          <w:color w:val="243746"/>
          <w:sz w:val="16"/>
        </w:rPr>
        <w:t>RBAC, API Security, Secure Coding, Audit Logs, Data Protection, Backup &amp; Recovery Governance, Monitoring, Release Governance, Service Governance, Technical Documentation</w:t>
      </w:r>
    </w:p>
    <w:tbl>
      <w:tblPr>
        <w:tblW w:type="auto" w:w="0"/>
        <w:jc w:val="center"/>
        <w:tblLook w:firstColumn="1" w:firstRow="1" w:lastColumn="0" w:lastRow="0" w:noHBand="0" w:noVBand="1" w:val="04A0"/>
      </w:tblPr>
      <w:tblGrid>
        <w:gridCol w:w="259"/>
        <w:gridCol w:w="9936"/>
      </w:tblGrid>
      <w:tr>
        <w:tc>
          <w:tcPr>
            <w:tcW w:type="dxa" w:w="5234"/>
            <w:shd w:fill="C9A227"/>
          </w:tcPr>
          <w:p/>
        </w:tc>
        <w:tc>
          <w:tcPr>
            <w:tcW w:type="dxa" w:w="5234"/>
            <w:shd w:fill="0A2239"/>
          </w:tcPr>
          <w:p>
            <w:pPr>
              <w:spacing w:before="30" w:after="30"/>
            </w:pPr>
            <w:r>
              <w:rPr>
                <w:rFonts w:ascii="Arial" w:hAnsi="Arial"/>
                <w:b/>
                <w:i w:val="0"/>
                <w:color w:val="FFFFFF"/>
                <w:sz w:val="19"/>
              </w:rPr>
              <w:t>EDUCATION &amp; LANGUAGES</w:t>
            </w:r>
          </w:p>
        </w:tc>
      </w:tr>
    </w:tbl>
    <w:tbl>
      <w:tblPr>
        <w:tblW w:type="auto" w:w="0"/>
        <w:jc w:val="center"/>
        <w:tblLayout w:type="autofit"/>
        <w:tblLook w:firstColumn="1" w:firstRow="1" w:lastColumn="0" w:lastRow="0" w:noHBand="0" w:noVBand="1" w:val="04A0"/>
      </w:tblPr>
      <w:tblGrid>
        <w:gridCol w:w="5234"/>
        <w:gridCol w:w="5234"/>
      </w:tblGrid>
      <w:tr>
        <w:tc>
          <w:tcPr>
            <w:tcW w:type="dxa" w:w="5234"/>
            <w:shd w:fill="EEF4F7"/>
            <w:tcBorders>
              <w:top w:val="single" w:sz="4" w:color="D9E2E8"/>
              <w:left w:val="single" w:sz="4" w:color="D9E2E8"/>
              <w:bottom w:val="single" w:sz="4" w:color="D9E2E8"/>
              <w:right w:val="single" w:sz="4" w:color="D9E2E8"/>
            </w:tcBorders>
          </w:tcPr>
          <w:p>
            <w:r>
              <w:rPr>
                <w:rFonts w:ascii="Arial" w:hAnsi="Arial"/>
                <w:b/>
                <w:i w:val="0"/>
                <w:color w:val="0A2239"/>
                <w:sz w:val="16"/>
              </w:rPr>
              <w:t>Education</w:t>
            </w:r>
          </w:p>
        </w:tc>
        <w:tc>
          <w:tcPr>
            <w:tcW w:type="dxa" w:w="5234"/>
            <w:tcBorders>
              <w:top w:val="single" w:sz="4" w:color="D9E2E8"/>
              <w:left w:val="single" w:sz="4" w:color="D9E2E8"/>
              <w:bottom w:val="single" w:sz="4" w:color="D9E2E8"/>
              <w:right w:val="single" w:sz="4" w:color="D9E2E8"/>
            </w:tcBorders>
          </w:tcPr>
          <w:p>
            <w:r>
              <w:rPr>
                <w:rFonts w:ascii="Arial" w:hAnsi="Arial"/>
                <w:b w:val="0"/>
                <w:i w:val="0"/>
                <w:color w:val="243746"/>
                <w:sz w:val="16"/>
              </w:rPr>
              <w:t>B.Sc. in Computer Science, Faculty of Computers &amp; Informatics, Zagazig University | 2003-2007</w:t>
            </w:r>
          </w:p>
        </w:tc>
      </w:tr>
      <w:tr>
        <w:tc>
          <w:tcPr>
            <w:tcW w:type="dxa" w:w="5234"/>
            <w:shd w:fill="EEF4F7"/>
            <w:tcBorders>
              <w:top w:val="single" w:sz="4" w:color="D9E2E8"/>
              <w:left w:val="single" w:sz="4" w:color="D9E2E8"/>
              <w:bottom w:val="single" w:sz="4" w:color="D9E2E8"/>
              <w:right w:val="single" w:sz="4" w:color="D9E2E8"/>
            </w:tcBorders>
          </w:tcPr>
          <w:p>
            <w:r>
              <w:rPr>
                <w:rFonts w:ascii="Arial" w:hAnsi="Arial"/>
                <w:b/>
                <w:i w:val="0"/>
                <w:color w:val="0A2239"/>
                <w:sz w:val="16"/>
              </w:rPr>
              <w:t>Languages</w:t>
            </w:r>
          </w:p>
        </w:tc>
        <w:tc>
          <w:tcPr>
            <w:tcW w:type="dxa" w:w="5234"/>
            <w:tcBorders>
              <w:top w:val="single" w:sz="4" w:color="D9E2E8"/>
              <w:left w:val="single" w:sz="4" w:color="D9E2E8"/>
              <w:bottom w:val="single" w:sz="4" w:color="D9E2E8"/>
              <w:right w:val="single" w:sz="4" w:color="D9E2E8"/>
            </w:tcBorders>
          </w:tcPr>
          <w:p>
            <w:r>
              <w:rPr>
                <w:rFonts w:ascii="Arial" w:hAnsi="Arial"/>
                <w:b w:val="0"/>
                <w:i w:val="0"/>
                <w:color w:val="243746"/>
                <w:sz w:val="16"/>
              </w:rPr>
              <w:t>Arabic - Native | English - Professional Working Proficiency</w:t>
            </w:r>
          </w:p>
        </w:tc>
      </w:tr>
      <w:tr>
        <w:tc>
          <w:tcPr>
            <w:tcW w:type="dxa" w:w="5234"/>
            <w:shd w:fill="EEF4F7"/>
            <w:tcBorders>
              <w:top w:val="single" w:sz="4" w:color="D9E2E8"/>
              <w:left w:val="single" w:sz="4" w:color="D9E2E8"/>
              <w:bottom w:val="single" w:sz="4" w:color="D9E2E8"/>
              <w:right w:val="single" w:sz="4" w:color="D9E2E8"/>
            </w:tcBorders>
          </w:tcPr>
          <w:p>
            <w:r>
              <w:rPr>
                <w:rFonts w:ascii="Arial" w:hAnsi="Arial"/>
                <w:b/>
                <w:i w:val="0"/>
                <w:color w:val="0A2239"/>
                <w:sz w:val="16"/>
              </w:rPr>
              <w:t>International Experience</w:t>
            </w:r>
          </w:p>
        </w:tc>
        <w:tc>
          <w:tcPr>
            <w:tcW w:type="dxa" w:w="5234"/>
            <w:tcBorders>
              <w:top w:val="single" w:sz="4" w:color="D9E2E8"/>
              <w:left w:val="single" w:sz="4" w:color="D9E2E8"/>
              <w:bottom w:val="single" w:sz="4" w:color="D9E2E8"/>
              <w:right w:val="single" w:sz="4" w:color="D9E2E8"/>
            </w:tcBorders>
          </w:tcPr>
          <w:p>
            <w:r>
              <w:rPr>
                <w:rFonts w:ascii="Arial" w:hAnsi="Arial"/>
                <w:b w:val="0"/>
                <w:i w:val="0"/>
                <w:color w:val="243746"/>
                <w:sz w:val="16"/>
              </w:rPr>
              <w:t>Muscat, Oman | May 2016 - October 2020</w:t>
            </w:r>
          </w:p>
        </w:tc>
      </w:tr>
    </w:tbl>
    <w:sectPr w:rsidR="00FC693F" w:rsidRPr="0006063C" w:rsidSect="00034616">
      <w:headerReference w:type="default" r:id="rId9"/>
      <w:footerReference w:type="default" r:id="rId10"/>
      <w:pgSz w:w="11909" w:h="16834"/>
      <w:pgMar w:top="691"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D6B78"/>
        <w:sz w:val="14"/>
      </w:rPr>
      <w:t xml:space="preserve">mahmoud-salama.vercel.app  |  Cairo, Egypt  |  </w:t>
    </w:r>
    <w:hyperlink r:id="rId1">
      <w:r>
        <w:rPr>
          <w:color w:val="0AA6B4"/>
          <w:rFonts w:ascii="Arial" w:hAnsi="Arial"/>
          <w:sz w:val="18"/>
        </w:rPr>
        <w:t>LinkedIn</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0"/>
      <w:gridCol w:w="2448"/>
    </w:tblGrid>
    <w:tr>
      <w:tc>
        <w:tcPr>
          <w:tcW w:type="dxa" w:w="5184"/>
          <w:tcBorders>
            <w:bottom w:val="single" w:sz="8" w:color="0AA6B4"/>
          </w:tcBorders>
        </w:tcPr>
        <w:p>
          <w:pPr>
            <w:jc w:val="left"/>
          </w:pPr>
          <w:r>
            <w:rPr>
              <w:rFonts w:ascii="Arial" w:hAnsi="Arial"/>
              <w:b/>
              <w:i w:val="0"/>
              <w:color w:val="0A2239"/>
              <w:sz w:val="17"/>
            </w:rPr>
            <w:t>MAHMOUD SALAMA</w:t>
          </w:r>
        </w:p>
      </w:tc>
      <w:tc>
        <w:tcPr>
          <w:tcW w:type="dxa" w:w="5184"/>
          <w:tcBorders>
            <w:bottom w:val="single" w:sz="8" w:color="0AA6B4"/>
          </w:tcBorders>
        </w:tcPr>
        <w:p>
          <w:pPr>
            <w:jc w:val="right"/>
          </w:pPr>
          <w:r>
            <w:rPr>
              <w:rFonts w:ascii="Arial" w:hAnsi="Arial"/>
              <w:b/>
              <w:i w:val="0"/>
              <w:color w:val="C9A227"/>
              <w:sz w:val="16"/>
            </w:rPr>
            <w:t>TARGETED CV</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A2239"/>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147D7A"/>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A223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rial" w:hAnsi="Arial"/>
      <w:b/>
      <w:color w:val="0A223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rPr>
      <w:rFonts w:ascii="Arial" w:hAnsi="Arial"/>
      <w:color w:val="5D6B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kedin.com/in/mahmoud-salama-30249b34" TargetMode="External"/><Relationship Id="rId12" Type="http://schemas.openxmlformats.org/officeDocument/2006/relationships/hyperlink" Target="https://mahmoud-salama.vercel.app"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linkedin.com/in/mahmoud-salama-30249b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&amp; TECHNOLOGY PROGRAM DIRECTOR</dc:title>
  <dc:subject>STRATEGY TO EXECUTION | GOVERNANCE | CHANGE &amp; ADOPTION | VALUE REALIZATION</dc:subject>
  <dc:creator>Mahmoud Salama</dc:creator>
  <cp:keywords/>
  <dc:description>generated by python-docx</dc:description>
  <cp:lastModifiedBy/>
  <cp:revision>1</cp:revision>
  <dcterms:created xsi:type="dcterms:W3CDTF">2013-12-23T23:15:00Z</dcterms:created>
  <dcterms:modified xsi:type="dcterms:W3CDTF">2013-12-23T23:15:00Z</dcterms:modified>
  <cp:category/>
</cp:coreProperties>
</file>