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fill="0A2239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8"/>
              </w:rPr>
              <w:t>ENTERPRISE &amp; SOLUTION ARCHITECT</w:t>
            </w:r>
          </w:p>
        </w:tc>
      </w:tr>
      <w:tr>
        <w:tc>
          <w:tcPr>
            <w:tcW w:type="dxa" w:w="10469"/>
            <w:shd w:fill="EEF4F7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b/>
                <w:i w:val="0"/>
                <w:color w:val="147D7A"/>
                <w:sz w:val="19"/>
              </w:rPr>
              <w:t>DIGITAL PLATFORMS | INTEGRATION | DATA ARCHITECTURE | APPLICATION MODERNIZATION</w:t>
            </w:r>
          </w:p>
        </w:tc>
      </w:tr>
    </w:tbl>
    <w:p>
      <w:pPr>
        <w:spacing w:before="40" w:after="100"/>
        <w:jc w:val="center"/>
      </w:pPr>
      <w:r>
        <w:rPr>
          <w:rFonts w:ascii="Arial" w:hAnsi="Arial"/>
          <w:b w:val="0"/>
          <w:i w:val="0"/>
          <w:color w:val="243746"/>
          <w:sz w:val="17"/>
        </w:rPr>
        <w:t xml:space="preserve">+20 122 015 6077  |  ma7moud.salamaaa@gmail.com  |  Cairo, Egypt  |  </w:t>
      </w:r>
      <w:hyperlink r:id="rId11">
        <w:r>
          <w:rPr>
            <w:color w:val="0AA6B4"/>
            <w:rFonts w:ascii="Arial" w:hAnsi="Arial"/>
            <w:sz w:val="18"/>
          </w:rPr>
          <w:t>LinkedIn</w:t>
        </w:r>
      </w:hyperlink>
      <w:r>
        <w:rPr>
          <w:rFonts w:ascii="Arial" w:hAnsi="Arial"/>
          <w:b w:val="0"/>
          <w:i w:val="0"/>
          <w:color w:val="243746"/>
          <w:sz w:val="17"/>
        </w:rPr>
        <w:t xml:space="preserve">  |  </w:t>
      </w:r>
      <w:hyperlink r:id="rId12">
        <w:r>
          <w:rPr>
            <w:color w:val="0AA6B4"/>
            <w:rFonts w:ascii="Arial" w:hAnsi="Arial"/>
            <w:sz w:val="18"/>
          </w:rPr>
          <w:t>Website</w:t>
        </w:r>
      </w:hyperlink>
    </w:p>
    <w:p>
      <w:pPr>
        <w:spacing w:after="80"/>
        <w:jc w:val="center"/>
      </w:pPr>
      <w:r>
        <w:rPr>
          <w:rFonts w:ascii="Arial" w:hAnsi="Arial"/>
          <w:b/>
          <w:i w:val="0"/>
          <w:color w:val="C9A227"/>
          <w:sz w:val="16"/>
        </w:rPr>
        <w:t>Available within one month | Open to Egypt, GCC, Africa &amp; Remote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234"/>
            <w:shd w:fill="C9A227"/>
          </w:tcPr>
          <w:p/>
        </w:tc>
        <w:tc>
          <w:tcPr>
            <w:tcW w:type="dxa" w:w="5234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EXECUTIVE PROFILE</w:t>
            </w:r>
          </w:p>
        </w:tc>
      </w:tr>
    </w:tbl>
    <w:p>
      <w:pPr>
        <w:spacing w:before="0" w:after="80" w:line="247" w:lineRule="auto"/>
      </w:pPr>
      <w:r>
        <w:rPr>
          <w:rFonts w:ascii="Arial" w:hAnsi="Arial"/>
          <w:b w:val="0"/>
          <w:i w:val="0"/>
          <w:color w:val="243746"/>
          <w:sz w:val="18"/>
        </w:rPr>
        <w:t>Enterprise and solution architecture leader with 18+ years of experience translating strategy into target-state capabilities, application landscapes, integration patterns, data platforms, security controls, transition roadmaps, and governed delivery. Combines architecture authority with extensive software engineering and public-sector implementation experience across Egypt, Oman, and wider GCC environments.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0"/>
        <w:gridCol w:w="3490"/>
        <w:gridCol w:w="3490"/>
      </w:tblGrid>
      <w:tr>
        <w:tc>
          <w:tcPr>
            <w:tcW w:type="dxa" w:w="3490"/>
            <w:shd w:fill="EEF4F7"/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A2239"/>
                <w:sz w:val="22"/>
              </w:rPr>
              <w:t>10-platform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i w:val="0"/>
                <w:color w:val="5D6B78"/>
                <w:sz w:val="15"/>
              </w:rPr>
              <w:t>national ecosystem</w:t>
            </w:r>
          </w:p>
        </w:tc>
        <w:tc>
          <w:tcPr>
            <w:tcW w:type="dxa" w:w="3490"/>
            <w:shd w:fill="EEF4F7"/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A2239"/>
                <w:sz w:val="22"/>
              </w:rPr>
              <w:t>12M+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i w:val="0"/>
                <w:color w:val="5D6B78"/>
                <w:sz w:val="15"/>
              </w:rPr>
              <w:t>records processed daily</w:t>
            </w:r>
          </w:p>
        </w:tc>
        <w:tc>
          <w:tcPr>
            <w:tcW w:type="dxa" w:w="3490"/>
            <w:shd w:fill="EEF4F7"/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A2239"/>
                <w:sz w:val="22"/>
              </w:rPr>
              <w:t>320,000+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i w:val="0"/>
                <w:color w:val="5D6B78"/>
                <w:sz w:val="15"/>
              </w:rPr>
              <w:t>automated validations</w:t>
            </w:r>
          </w:p>
        </w:tc>
      </w:tr>
      <w:tr>
        <w:tc>
          <w:tcPr>
            <w:tcW w:type="dxa" w:w="3490"/>
            <w:shd w:fill="EEF4F7"/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A2239"/>
                <w:sz w:val="22"/>
              </w:rPr>
              <w:t>Dynamics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i w:val="0"/>
                <w:color w:val="5D6B78"/>
                <w:sz w:val="15"/>
              </w:rPr>
              <w:t>365 ERP/CRM integration</w:t>
            </w:r>
          </w:p>
        </w:tc>
        <w:tc>
          <w:tcPr>
            <w:tcW w:type="dxa" w:w="3490"/>
            <w:shd w:fill="EEF4F7"/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A2239"/>
                <w:sz w:val="22"/>
              </w:rPr>
              <w:t>100+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i w:val="0"/>
                <w:color w:val="5D6B78"/>
                <w:sz w:val="15"/>
              </w:rPr>
              <w:t>government institutions</w:t>
            </w:r>
          </w:p>
        </w:tc>
        <w:tc>
          <w:tcPr>
            <w:tcW w:type="dxa" w:w="3490"/>
            <w:shd w:fill="EEF4F7"/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A2239"/>
                <w:sz w:val="22"/>
              </w:rPr>
              <w:t>15+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i w:val="0"/>
                <w:color w:val="5D6B78"/>
                <w:sz w:val="15"/>
              </w:rPr>
              <w:t>full-cycle GCC platforms</w:t>
            </w:r>
          </w:p>
        </w:tc>
      </w:tr>
    </w:tbl>
    <w:p>
      <w:pPr>
        <w:spacing w:before="60" w:after="80" w:line="240" w:lineRule="auto"/>
        <w:jc w:val="center"/>
      </w:pPr>
      <w:r>
        <w:rPr>
          <w:rFonts w:ascii="Arial" w:hAnsi="Arial"/>
          <w:b/>
          <w:i w:val="0"/>
          <w:color w:val="147D7A"/>
          <w:sz w:val="16"/>
        </w:rPr>
        <w:t>Architecture is treated as a managed institutional capability linking strategy, process, data, integration, security, delivery, and operations.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234"/>
            <w:shd w:fill="C9A227"/>
          </w:tcPr>
          <w:p/>
        </w:tc>
        <w:tc>
          <w:tcPr>
            <w:tcW w:type="dxa" w:w="5234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CORE LEADERSHIP &amp; CAPABILITY AREAS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  <w:shd w:fill="F7F9F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A2239"/>
                <w:sz w:val="17"/>
              </w:rPr>
              <w:t>Enterprise Architecture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Capability maps, target-state architecture, application portfolios, technology standards, transition states, architecture governance</w:t>
            </w:r>
          </w:p>
        </w:tc>
        <w:tc>
          <w:tcPr>
            <w:tcW w:type="dxa" w:w="523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A2239"/>
                <w:sz w:val="17"/>
              </w:rPr>
              <w:t>Integration Architecture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REST APIs, GraphQL, data contracts, mapping, validation, reconciliation, exception handling, monitoring, audit controls</w:t>
            </w:r>
          </w:p>
        </w:tc>
      </w:tr>
      <w:tr>
        <w:tc>
          <w:tcPr>
            <w:tcW w:type="dxa" w:w="5234"/>
            <w:shd w:fill="F7F9F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A2239"/>
                <w:sz w:val="17"/>
              </w:rPr>
              <w:t>Data Architecture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PostgreSQL, SQL Server, MySQL, MDM, ODS, data pipelines, data quality, governance, Power BI, Apache Superset</w:t>
            </w:r>
          </w:p>
        </w:tc>
        <w:tc>
          <w:tcPr>
            <w:tcW w:type="dxa" w:w="523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A2239"/>
                <w:sz w:val="17"/>
              </w:rPr>
              <w:t>Solution Engineering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C#, ASP.NET Core, .NET Framework, React.js, Node.js, JavaScript, Docker, CI/CD, secure coding, technical documentation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234"/>
            <w:shd w:fill="C9A227"/>
          </w:tcPr>
          <w:p/>
        </w:tc>
        <w:tc>
          <w:tcPr>
            <w:tcW w:type="dxa" w:w="5234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PROFESSIONAL EXPERIENCE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2232"/>
      </w:tblGrid>
      <w:tr>
        <w:tc>
          <w:tcPr>
            <w:tcW w:type="dxa" w:w="5234"/>
            <w:tcBorders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A2239"/>
                <w:sz w:val="18"/>
              </w:rPr>
              <w:t>Head of Central Administration - Information Systems &amp; Digital Transformation</w:t>
            </w:r>
          </w:p>
        </w:tc>
        <w:tc>
          <w:tcPr>
            <w:tcW w:type="dxa" w:w="5234"/>
            <w:tcBorders>
              <w:bottom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C9A227"/>
                <w:sz w:val="15"/>
              </w:rPr>
              <w:t>May 2025 - Present</w:t>
            </w:r>
          </w:p>
        </w:tc>
      </w:tr>
      <w:tr>
        <w:tc>
          <w:tcPr>
            <w:tcW w:type="dxa" w:w="5234"/>
            <w:tcBorders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47D7A"/>
                <w:sz w:val="16"/>
              </w:rPr>
              <w:t>Egyptian Authority for Unified Procurement, Medical Supply &amp; Medical Technology (UPA) | Cairo, Egypt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/>
                <w:color w:val="5D6B78"/>
                <w:sz w:val="14"/>
              </w:rPr>
              <w:t>Market positioning: Technology &amp; Digital Transformation Executive | Enterprise Architect</w:t>
            </w:r>
          </w:p>
        </w:tc>
        <w:tc>
          <w:tcPr>
            <w:tcW w:type="dxa" w:w="5234"/>
            <w:tcBorders>
              <w:bottom w:val="nil"/>
            </w:tcBorders>
          </w:tcPr>
          <w:p/>
        </w:tc>
      </w:tr>
    </w:tbl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Lead enterprise technology strategy and transformation across procurement, warehousing, inventory, demand planning, enterprise data, analytics, and government operations.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Govern enterprise and solution architecture, platform modernization, integration standards, data governance, security controls, resilience, and long-term technology roadmaps.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Oversee integrations connecting operational and procurement platforms with Microsoft Dynamics 365 ERP and CRM, the National Health Sector Data Warehouse, and enterprise analytics platforms.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Establish delivery quality, access control, backup and recovery, auditability, release governance, and service standards across critical platforms supporting more than 100 government institutions.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2232"/>
      </w:tblGrid>
      <w:tr>
        <w:tc>
          <w:tcPr>
            <w:tcW w:type="dxa" w:w="5234"/>
            <w:tcBorders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A2239"/>
                <w:sz w:val="18"/>
              </w:rPr>
              <w:t>General Manager - Systems, Applications &amp; Technical Support</w:t>
            </w:r>
          </w:p>
        </w:tc>
        <w:tc>
          <w:tcPr>
            <w:tcW w:type="dxa" w:w="5234"/>
            <w:tcBorders>
              <w:bottom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C9A227"/>
                <w:sz w:val="15"/>
              </w:rPr>
              <w:t>Oct 2020 - May 2025</w:t>
            </w:r>
          </w:p>
        </w:tc>
      </w:tr>
      <w:tr>
        <w:tc>
          <w:tcPr>
            <w:tcW w:type="dxa" w:w="5234"/>
            <w:tcBorders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47D7A"/>
                <w:sz w:val="16"/>
              </w:rPr>
              <w:t>Egyptian Authority for Unified Procurement (UPA) | Cairo, Egypt</w:t>
            </w:r>
          </w:p>
        </w:tc>
        <w:tc>
          <w:tcPr>
            <w:tcW w:type="dxa" w:w="5234"/>
            <w:tcBorders>
              <w:bottom w:val="nil"/>
            </w:tcBorders>
          </w:tcPr>
          <w:p/>
        </w:tc>
      </w:tr>
    </w:tbl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Directed implementation, modernization, maintenance, and high-availability support for procurement, medical supply, inventory, reporting, and stakeholder platforms.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Improved release quality and deployment consistency through QA standards, code review, release governance, technical documentation, and structured development procedures.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Governed multi-agency technology coordination for Egypt's National Pharmaceutical Track &amp; Trace Program and supported ministerial oversight of national blood-supply operations.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234"/>
            <w:shd w:fill="C9A227"/>
          </w:tcPr>
          <w:p/>
        </w:tc>
        <w:tc>
          <w:tcPr>
            <w:tcW w:type="dxa" w:w="5234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PROFESSIONAL EXPERIENCE - CONTINUED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2232"/>
      </w:tblGrid>
      <w:tr>
        <w:tc>
          <w:tcPr>
            <w:tcW w:type="dxa" w:w="5234"/>
            <w:tcBorders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A2239"/>
                <w:sz w:val="18"/>
              </w:rPr>
              <w:t>Development Team Leader &amp; Senior Full-Stack Developer</w:t>
            </w:r>
          </w:p>
        </w:tc>
        <w:tc>
          <w:tcPr>
            <w:tcW w:type="dxa" w:w="5234"/>
            <w:tcBorders>
              <w:bottom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C9A227"/>
                <w:sz w:val="15"/>
              </w:rPr>
              <w:t>May 2016 - Oct 2020</w:t>
            </w:r>
          </w:p>
        </w:tc>
      </w:tr>
      <w:tr>
        <w:tc>
          <w:tcPr>
            <w:tcW w:type="dxa" w:w="5234"/>
            <w:tcBorders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47D7A"/>
                <w:sz w:val="16"/>
              </w:rPr>
              <w:t>Integral Solutions LLC | Muscat, Oman</w:t>
            </w:r>
          </w:p>
        </w:tc>
        <w:tc>
          <w:tcPr>
            <w:tcW w:type="dxa" w:w="5234"/>
            <w:tcBorders>
              <w:bottom w:val="nil"/>
            </w:tcBorders>
          </w:tcPr>
          <w:p/>
        </w:tc>
      </w:tr>
    </w:tbl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Led cross-border engineering teams of 10+ developers and delivered 15+ full-cycle enterprise platforms for government, healthcare, education, and corporate clients across Oman and the GCC.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Delivered the Oman National Educational Portal, supporting e-learning, content management, academic records, administration, and performance tracking.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Architected secure, scalable platforms using ASP.NET, C#, React.js, Node.js, SQL Server, MySQL, and Web APIs; introduced agile delivery, code review, documentation, and QA practices.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2232"/>
      </w:tblGrid>
      <w:tr>
        <w:tc>
          <w:tcPr>
            <w:tcW w:type="dxa" w:w="5234"/>
            <w:tcBorders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A2239"/>
                <w:sz w:val="18"/>
              </w:rPr>
              <w:t>Development Team Leader &amp; Senior Full-Stack Developer</w:t>
            </w:r>
          </w:p>
        </w:tc>
        <w:tc>
          <w:tcPr>
            <w:tcW w:type="dxa" w:w="5234"/>
            <w:tcBorders>
              <w:bottom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C9A227"/>
                <w:sz w:val="15"/>
              </w:rPr>
              <w:t>Apr 2011 - May 2016</w:t>
            </w:r>
          </w:p>
        </w:tc>
      </w:tr>
      <w:tr>
        <w:tc>
          <w:tcPr>
            <w:tcW w:type="dxa" w:w="5234"/>
            <w:tcBorders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47D7A"/>
                <w:sz w:val="16"/>
              </w:rPr>
              <w:t>Keyframe Egypt | Cairo, Egypt</w:t>
            </w:r>
          </w:p>
        </w:tc>
        <w:tc>
          <w:tcPr>
            <w:tcW w:type="dxa" w:w="5234"/>
            <w:tcBorders>
              <w:bottom w:val="nil"/>
            </w:tcBorders>
          </w:tcPr>
          <w:p/>
        </w:tc>
      </w:tr>
    </w:tbl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Delivered 100+ public portals, enterprise applications, corporate websites, and digital service platforms across government, healthcare, education, construction, automotive, events, and commercial sectors.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Directed portal delivery for Egypt's Ministry of Health, Oman's Ministry of Agriculture, and other public and corporate organizations.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Designed REST API integrations, responsive interfaces, database performance improvements, and technical documentation adopted as team standards.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2232"/>
      </w:tblGrid>
      <w:tr>
        <w:tc>
          <w:tcPr>
            <w:tcW w:type="dxa" w:w="5234"/>
            <w:tcBorders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A2239"/>
                <w:sz w:val="18"/>
              </w:rPr>
              <w:t>Linux Systems &amp; Web Developer</w:t>
            </w:r>
          </w:p>
        </w:tc>
        <w:tc>
          <w:tcPr>
            <w:tcW w:type="dxa" w:w="5234"/>
            <w:tcBorders>
              <w:bottom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C9A227"/>
                <w:sz w:val="15"/>
              </w:rPr>
              <w:t>Apr 2008 - Oct 2010</w:t>
            </w:r>
          </w:p>
        </w:tc>
      </w:tr>
      <w:tr>
        <w:tc>
          <w:tcPr>
            <w:tcW w:type="dxa" w:w="5234"/>
            <w:tcBorders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47D7A"/>
                <w:sz w:val="16"/>
              </w:rPr>
              <w:t>Egyptian Armed Forces | Egypt</w:t>
            </w:r>
          </w:p>
        </w:tc>
        <w:tc>
          <w:tcPr>
            <w:tcW w:type="dxa" w:w="5234"/>
            <w:tcBorders>
              <w:bottom w:val="nil"/>
            </w:tcBorders>
          </w:tcPr>
          <w:p/>
        </w:tc>
      </w:tr>
    </w:tbl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Developed and customized Linux-based systems within a restricted defense environment, including Linux from Scratch builds, kernel modules, system optimization, and hardened platform configurations.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Built secure internal web applications using ASP.NET and SQL Server, maintaining strong security, code integrity, and operational reliability.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234"/>
            <w:shd w:fill="C9A227"/>
          </w:tcPr>
          <w:p/>
        </w:tc>
        <w:tc>
          <w:tcPr>
            <w:tcW w:type="dxa" w:w="5234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LEADERSHIP APPOINTMENTS &amp; PROFESSIONAL CONTRIBUTIONS</w:t>
            </w:r>
          </w:p>
        </w:tc>
      </w:tr>
    </w:tbl>
    <w:p>
      <w:pPr>
        <w:spacing w:after="26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Digital Transformation Committee Member - World Bank Group B-READY Egypt Assessment (2025-2026).</w:t>
      </w:r>
    </w:p>
    <w:p>
      <w:pPr>
        <w:spacing w:after="26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Board Member - National Blood Operations Oversight, appointed by Egypt's Minister of Health (2021-2024).</w:t>
      </w:r>
    </w:p>
    <w:p>
      <w:pPr>
        <w:spacing w:after="26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Governance Lead - National Pharmaceutical Track &amp; Trace Program, UPA / EDA / Ministry of Health (2021-2024).</w:t>
      </w:r>
    </w:p>
    <w:p>
      <w:pPr>
        <w:spacing w:after="26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International Speaker - Bioinformatics &amp; Digital Health, Manama Health Congress &amp; Expo, Bahrain (2022).</w:t>
      </w:r>
    </w:p>
    <w:p>
      <w:pPr>
        <w:spacing w:after="26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Digital Health &amp; Technology Contributor - Africa Health ExCon, Cairo (2021-Present).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234"/>
            <w:shd w:fill="C9A227"/>
          </w:tcPr>
          <w:p/>
        </w:tc>
        <w:tc>
          <w:tcPr>
            <w:tcW w:type="dxa" w:w="5234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SELECTED ENTERPRISE PLATFORMS &amp; TRANSFORMATION PROGRAMS</w:t>
            </w:r>
          </w:p>
        </w:tc>
      </w:tr>
    </w:tbl>
    <w:p>
      <w:pPr>
        <w:spacing w:before="30" w:after="14"/>
      </w:pPr>
      <w:r>
        <w:rPr>
          <w:rFonts w:ascii="Arial" w:hAnsi="Arial"/>
          <w:b/>
          <w:i w:val="0"/>
          <w:color w:val="0A2239"/>
          <w:sz w:val="17"/>
        </w:rPr>
        <w:t>MedIQ / Unified Procurement &amp; Medical Supply Ecosystem</w:t>
      </w:r>
    </w:p>
    <w:p>
      <w:pPr>
        <w:spacing w:after="16" w:line="240" w:lineRule="auto"/>
      </w:pPr>
      <w:r>
        <w:rPr>
          <w:rFonts w:ascii="Arial" w:hAnsi="Arial"/>
          <w:b w:val="0"/>
          <w:i w:val="0"/>
          <w:color w:val="243746"/>
          <w:sz w:val="16"/>
        </w:rPr>
        <w:t>Led architecture and governance of an integrated 10-platform ecosystem supporting RFPs, approvals, inventory, distribution, supplier processes, and supply-chain controls across 12,000+ public-sector entities. The environment processed 320,000+ automated validation checks and strengthened transparency, planning, and stock visibility.</w:t>
      </w:r>
    </w:p>
    <w:p>
      <w:pPr>
        <w:spacing w:after="28"/>
      </w:pPr>
      <w:r>
        <w:rPr>
          <w:rFonts w:ascii="Arial" w:hAnsi="Arial"/>
          <w:b/>
          <w:i w:val="0"/>
          <w:color w:val="C9A227"/>
          <w:sz w:val="15"/>
        </w:rPr>
        <w:t xml:space="preserve">Selected technology: </w:t>
      </w:r>
      <w:r>
        <w:rPr>
          <w:rFonts w:ascii="Arial" w:hAnsi="Arial"/>
          <w:b w:val="0"/>
          <w:i w:val="0"/>
          <w:color w:val="5D6B78"/>
          <w:sz w:val="15"/>
        </w:rPr>
        <w:t>ASP.NET, C#, React.js, Node.js, GraphQL, MySQL, APIs</w:t>
      </w:r>
    </w:p>
    <w:p>
      <w:pPr>
        <w:spacing w:before="30" w:after="14"/>
      </w:pPr>
      <w:r>
        <w:rPr>
          <w:rFonts w:ascii="Arial" w:hAnsi="Arial"/>
          <w:b/>
          <w:i w:val="0"/>
          <w:color w:val="0A2239"/>
          <w:sz w:val="17"/>
        </w:rPr>
        <w:t>Egypt National Health Sector Data Warehouse &amp; Analytics Layer</w:t>
      </w:r>
    </w:p>
    <w:p>
      <w:pPr>
        <w:spacing w:after="16" w:line="240" w:lineRule="auto"/>
      </w:pPr>
      <w:r>
        <w:rPr>
          <w:rFonts w:ascii="Arial" w:hAnsi="Arial"/>
          <w:b w:val="0"/>
          <w:i w:val="0"/>
          <w:color w:val="243746"/>
          <w:sz w:val="16"/>
        </w:rPr>
        <w:t>Led architecture of a governed enterprise data environment with PostgreSQL, data pipelines, master data, operational data stores, validation controls, Power BI, and Apache Superset. The reporting layer processes 12M+ records daily and contributed to approximately 70% faster executive reporting preparation.</w:t>
      </w:r>
    </w:p>
    <w:p>
      <w:pPr>
        <w:spacing w:after="28"/>
      </w:pPr>
      <w:r>
        <w:rPr>
          <w:rFonts w:ascii="Arial" w:hAnsi="Arial"/>
          <w:b/>
          <w:i w:val="0"/>
          <w:color w:val="C9A227"/>
          <w:sz w:val="15"/>
        </w:rPr>
        <w:t xml:space="preserve">Selected technology: </w:t>
      </w:r>
      <w:r>
        <w:rPr>
          <w:rFonts w:ascii="Arial" w:hAnsi="Arial"/>
          <w:b w:val="0"/>
          <w:i w:val="0"/>
          <w:color w:val="5D6B78"/>
          <w:sz w:val="15"/>
        </w:rPr>
        <w:t>PostgreSQL, SQL, Data Pipelines, MDM, ODS, Power BI, Apache Superset</w:t>
      </w:r>
    </w:p>
    <w:p>
      <w:pPr>
        <w:spacing w:before="30" w:after="14"/>
      </w:pPr>
      <w:r>
        <w:rPr>
          <w:rFonts w:ascii="Arial" w:hAnsi="Arial"/>
          <w:b/>
          <w:i w:val="0"/>
          <w:color w:val="0A2239"/>
          <w:sz w:val="17"/>
        </w:rPr>
        <w:t>Microsoft Dynamics 365 ERP &amp; CRM Integration</w:t>
      </w:r>
    </w:p>
    <w:p>
      <w:pPr>
        <w:spacing w:after="16" w:line="240" w:lineRule="auto"/>
      </w:pPr>
      <w:r>
        <w:rPr>
          <w:rFonts w:ascii="Arial" w:hAnsi="Arial"/>
          <w:b w:val="0"/>
          <w:i w:val="0"/>
          <w:color w:val="243746"/>
          <w:sz w:val="16"/>
        </w:rPr>
        <w:t>Directed integration architecture connecting procurement, operations, stakeholder services, reporting, and data platforms with Dynamics 365 through controlled exchange, mapping, validation, reconciliation, workflow alignment, monitoring, and audit controls.</w:t>
      </w:r>
    </w:p>
    <w:p>
      <w:pPr>
        <w:spacing w:after="28"/>
      </w:pPr>
      <w:r>
        <w:rPr>
          <w:rFonts w:ascii="Arial" w:hAnsi="Arial"/>
          <w:b/>
          <w:i w:val="0"/>
          <w:color w:val="C9A227"/>
          <w:sz w:val="15"/>
        </w:rPr>
        <w:t xml:space="preserve">Selected technology: </w:t>
      </w:r>
      <w:r>
        <w:rPr>
          <w:rFonts w:ascii="Arial" w:hAnsi="Arial"/>
          <w:b w:val="0"/>
          <w:i w:val="0"/>
          <w:color w:val="5D6B78"/>
          <w:sz w:val="15"/>
        </w:rPr>
        <w:t>Microsoft Dynamics 365, REST APIs, Data Connectors, Mapping, Audit Logs</w:t>
      </w:r>
    </w:p>
    <w:p>
      <w:pPr>
        <w:spacing w:before="30" w:after="14"/>
      </w:pPr>
      <w:r>
        <w:rPr>
          <w:rFonts w:ascii="Arial" w:hAnsi="Arial"/>
          <w:b/>
          <w:i w:val="0"/>
          <w:color w:val="0A2239"/>
          <w:sz w:val="17"/>
        </w:rPr>
        <w:t>Oman National Educational Portal</w:t>
      </w:r>
    </w:p>
    <w:p>
      <w:pPr>
        <w:spacing w:after="16" w:line="240" w:lineRule="auto"/>
      </w:pPr>
      <w:r>
        <w:rPr>
          <w:rFonts w:ascii="Arial" w:hAnsi="Arial"/>
          <w:b w:val="0"/>
          <w:i w:val="0"/>
          <w:color w:val="243746"/>
          <w:sz w:val="16"/>
        </w:rPr>
        <w:t>Led full-cycle delivery and cross-border engineering coordination for a large-scale e-learning and academic-management platform aligned with local e-government standards.</w:t>
      </w:r>
    </w:p>
    <w:p>
      <w:pPr>
        <w:spacing w:after="28"/>
      </w:pPr>
      <w:r>
        <w:rPr>
          <w:rFonts w:ascii="Arial" w:hAnsi="Arial"/>
          <w:b/>
          <w:i w:val="0"/>
          <w:color w:val="C9A227"/>
          <w:sz w:val="15"/>
        </w:rPr>
        <w:t xml:space="preserve">Selected technology: </w:t>
      </w:r>
      <w:r>
        <w:rPr>
          <w:rFonts w:ascii="Arial" w:hAnsi="Arial"/>
          <w:b w:val="0"/>
          <w:i w:val="0"/>
          <w:color w:val="5D6B78"/>
          <w:sz w:val="15"/>
        </w:rPr>
        <w:t>ASP.NET, C#, SQL Server, LMS, CMS, Dashboards</w:t>
      </w:r>
    </w:p>
    <w:p>
      <w:pPr>
        <w:spacing w:before="30" w:after="14"/>
      </w:pPr>
      <w:r>
        <w:rPr>
          <w:rFonts w:ascii="Arial" w:hAnsi="Arial"/>
          <w:b/>
          <w:i w:val="0"/>
          <w:color w:val="0A2239"/>
          <w:sz w:val="17"/>
        </w:rPr>
        <w:t>Health Technology Assessment Platform</w:t>
      </w:r>
    </w:p>
    <w:p>
      <w:pPr>
        <w:spacing w:after="16" w:line="240" w:lineRule="auto"/>
      </w:pPr>
      <w:r>
        <w:rPr>
          <w:rFonts w:ascii="Arial" w:hAnsi="Arial"/>
          <w:b w:val="0"/>
          <w:i w:val="0"/>
          <w:color w:val="243746"/>
          <w:sz w:val="16"/>
        </w:rPr>
        <w:t>Directed digitization of evidence submission, controlled review, assessment tracking, role-based access, audit traceability, dashboards, and compliance reporting.</w:t>
      </w:r>
    </w:p>
    <w:p>
      <w:pPr>
        <w:spacing w:after="28"/>
      </w:pPr>
      <w:r>
        <w:rPr>
          <w:rFonts w:ascii="Arial" w:hAnsi="Arial"/>
          <w:b/>
          <w:i w:val="0"/>
          <w:color w:val="C9A227"/>
          <w:sz w:val="15"/>
        </w:rPr>
        <w:t xml:space="preserve">Selected technology: </w:t>
      </w:r>
      <w:r>
        <w:rPr>
          <w:rFonts w:ascii="Arial" w:hAnsi="Arial"/>
          <w:b w:val="0"/>
          <w:i w:val="0"/>
          <w:color w:val="5D6B78"/>
          <w:sz w:val="15"/>
        </w:rPr>
        <w:t>Workflow Engine, Dashboards, Audit Logs, RBAC, Compliance Reporting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234"/>
            <w:shd w:fill="C9A227"/>
          </w:tcPr>
          <w:p/>
        </w:tc>
        <w:tc>
          <w:tcPr>
            <w:tcW w:type="dxa" w:w="5234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TECHNICAL &amp; DELIVERY CAPABILITIES</w:t>
            </w:r>
          </w:p>
        </w:tc>
      </w:tr>
    </w:tbl>
    <w:p>
      <w:pPr>
        <w:spacing w:after="14"/>
      </w:pPr>
      <w:r>
        <w:rPr>
          <w:rFonts w:ascii="Arial" w:hAnsi="Arial"/>
          <w:b/>
          <w:i w:val="0"/>
          <w:color w:val="0A2239"/>
          <w:sz w:val="16"/>
        </w:rPr>
        <w:t xml:space="preserve">Executive &amp; Governance: </w:t>
      </w:r>
      <w:r>
        <w:rPr>
          <w:rFonts w:ascii="Arial" w:hAnsi="Arial"/>
          <w:b w:val="0"/>
          <w:i w:val="0"/>
          <w:color w:val="243746"/>
          <w:sz w:val="16"/>
        </w:rPr>
        <w:t>Technology Strategy, Digital Transformation, IT Operating Models, Enterprise Architecture, Portfolio Governance, Vendor Governance, Executive Stakeholder Management, Program Governance, Change &amp; Adoption</w:t>
      </w:r>
    </w:p>
    <w:p>
      <w:pPr>
        <w:spacing w:after="14"/>
      </w:pPr>
      <w:r>
        <w:rPr>
          <w:rFonts w:ascii="Arial" w:hAnsi="Arial"/>
          <w:b/>
          <w:i w:val="0"/>
          <w:color w:val="0A2239"/>
          <w:sz w:val="16"/>
        </w:rPr>
        <w:t xml:space="preserve">Architecture &amp; Integration: </w:t>
      </w:r>
      <w:r>
        <w:rPr>
          <w:rFonts w:ascii="Arial" w:hAnsi="Arial"/>
          <w:b w:val="0"/>
          <w:i w:val="0"/>
          <w:color w:val="243746"/>
          <w:sz w:val="16"/>
        </w:rPr>
        <w:t>Capability Mapping, Target-State Architecture, Solution Architecture, REST APIs, GraphQL, Integration Governance, Data Contracts, Microsoft Dynamics 365 ERP/CRM Integration, Application Modernization</w:t>
      </w:r>
    </w:p>
    <w:p>
      <w:pPr>
        <w:spacing w:after="14"/>
      </w:pPr>
      <w:r>
        <w:rPr>
          <w:rFonts w:ascii="Arial" w:hAnsi="Arial"/>
          <w:b/>
          <w:i w:val="0"/>
          <w:color w:val="0A2239"/>
          <w:sz w:val="16"/>
        </w:rPr>
        <w:t xml:space="preserve">Data &amp; Analytics: </w:t>
      </w:r>
      <w:r>
        <w:rPr>
          <w:rFonts w:ascii="Arial" w:hAnsi="Arial"/>
          <w:b w:val="0"/>
          <w:i w:val="0"/>
          <w:color w:val="243746"/>
          <w:sz w:val="16"/>
        </w:rPr>
        <w:t>PostgreSQL, SQL Server, MySQL, Data Pipelines, Master Data Management, Operational Data Stores, Data Governance, Power BI, Apache Superset, Forecasting Support, Risk &amp; Anomaly Analysis</w:t>
      </w:r>
    </w:p>
    <w:p>
      <w:pPr>
        <w:spacing w:after="14"/>
      </w:pPr>
      <w:r>
        <w:rPr>
          <w:rFonts w:ascii="Arial" w:hAnsi="Arial"/>
          <w:b/>
          <w:i w:val="0"/>
          <w:color w:val="0A2239"/>
          <w:sz w:val="16"/>
        </w:rPr>
        <w:t xml:space="preserve">Engineering &amp; Delivery: </w:t>
      </w:r>
      <w:r>
        <w:rPr>
          <w:rFonts w:ascii="Arial" w:hAnsi="Arial"/>
          <w:b w:val="0"/>
          <w:i w:val="0"/>
          <w:color w:val="243746"/>
          <w:sz w:val="16"/>
        </w:rPr>
        <w:t>C#, ASP.NET Core, .NET Framework, Entity Framework, React.js, Node.js, JavaScript, HTML5, CSS3, Agile, SDLC, QA, Git, Docker, Jenkins, CI/CD, Jira, Postman</w:t>
      </w:r>
    </w:p>
    <w:p>
      <w:pPr>
        <w:spacing w:after="14"/>
      </w:pPr>
      <w:r>
        <w:rPr>
          <w:rFonts w:ascii="Arial" w:hAnsi="Arial"/>
          <w:b/>
          <w:i w:val="0"/>
          <w:color w:val="0A2239"/>
          <w:sz w:val="16"/>
        </w:rPr>
        <w:t xml:space="preserve">Security &amp; Operations: </w:t>
      </w:r>
      <w:r>
        <w:rPr>
          <w:rFonts w:ascii="Arial" w:hAnsi="Arial"/>
          <w:b w:val="0"/>
          <w:i w:val="0"/>
          <w:color w:val="243746"/>
          <w:sz w:val="16"/>
        </w:rPr>
        <w:t>RBAC, API Security, Secure Coding, Audit Logs, Data Protection, Backup &amp; Recovery Governance, Monitoring, Release Governance, Service Governance, Technical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234"/>
            <w:shd w:fill="C9A227"/>
          </w:tcPr>
          <w:p/>
        </w:tc>
        <w:tc>
          <w:tcPr>
            <w:tcW w:type="dxa" w:w="5234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EDUCATION &amp; LANGUAGES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i w:val="0"/>
                <w:color w:val="0A2239"/>
                <w:sz w:val="16"/>
              </w:rPr>
              <w:t>Education</w:t>
            </w:r>
          </w:p>
        </w:tc>
        <w:tc>
          <w:tcPr>
            <w:tcW w:type="dxa" w:w="523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 w:val="0"/>
                <w:i w:val="0"/>
                <w:color w:val="243746"/>
                <w:sz w:val="16"/>
              </w:rPr>
              <w:t>B.Sc. in Computer Science, Faculty of Computers &amp; Informatics, Zagazig University | 2003-2007</w:t>
            </w:r>
          </w:p>
        </w:tc>
      </w:tr>
      <w:tr>
        <w:tc>
          <w:tcPr>
            <w:tcW w:type="dxa" w:w="523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i w:val="0"/>
                <w:color w:val="0A2239"/>
                <w:sz w:val="16"/>
              </w:rPr>
              <w:t>Languages</w:t>
            </w:r>
          </w:p>
        </w:tc>
        <w:tc>
          <w:tcPr>
            <w:tcW w:type="dxa" w:w="523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 w:val="0"/>
                <w:i w:val="0"/>
                <w:color w:val="243746"/>
                <w:sz w:val="16"/>
              </w:rPr>
              <w:t>Arabic - Native | English - Professional Working Proficiency</w:t>
            </w:r>
          </w:p>
        </w:tc>
      </w:tr>
      <w:tr>
        <w:tc>
          <w:tcPr>
            <w:tcW w:type="dxa" w:w="523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i w:val="0"/>
                <w:color w:val="0A2239"/>
                <w:sz w:val="16"/>
              </w:rPr>
              <w:t>International Experience</w:t>
            </w:r>
          </w:p>
        </w:tc>
        <w:tc>
          <w:tcPr>
            <w:tcW w:type="dxa" w:w="523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 w:val="0"/>
                <w:i w:val="0"/>
                <w:color w:val="243746"/>
                <w:sz w:val="16"/>
              </w:rPr>
              <w:t>Muscat, Oman | May 2016 - October 2020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691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D6B78"/>
        <w:sz w:val="14"/>
      </w:rPr>
      <w:t xml:space="preserve">mahmoud-salama.vercel.app  |  Cairo, Egypt  |  </w:t>
    </w:r>
    <w:hyperlink r:id="rId1">
      <w:r>
        <w:rPr>
          <w:color w:val="0AA6B4"/>
          <w:rFonts w:ascii="Arial" w:hAnsi="Arial"/>
          <w:sz w:val="18"/>
        </w:rPr>
        <w:t>LinkedIn</w:t>
      </w:r>
    </w:hyperlink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2448"/>
    </w:tblGrid>
    <w:tr>
      <w:tc>
        <w:tcPr>
          <w:tcW w:type="dxa" w:w="5184"/>
          <w:tcBorders>
            <w:bottom w:val="single" w:sz="8" w:color="0AA6B4"/>
          </w:tcBorders>
        </w:tcPr>
        <w:p>
          <w:pPr>
            <w:jc w:val="left"/>
          </w:pPr>
          <w:r>
            <w:rPr>
              <w:rFonts w:ascii="Arial" w:hAnsi="Arial"/>
              <w:b/>
              <w:i w:val="0"/>
              <w:color w:val="0A2239"/>
              <w:sz w:val="17"/>
            </w:rPr>
            <w:t>MAHMOUD SALAMA</w:t>
          </w:r>
        </w:p>
      </w:tc>
      <w:tc>
        <w:tcPr>
          <w:tcW w:type="dxa" w:w="5184"/>
          <w:tcBorders>
            <w:bottom w:val="single" w:sz="8" w:color="0AA6B4"/>
          </w:tcBorders>
        </w:tcPr>
        <w:p>
          <w:pPr>
            <w:jc w:val="right"/>
          </w:pPr>
          <w:r>
            <w:rPr>
              <w:rFonts w:ascii="Arial" w:hAnsi="Arial"/>
              <w:b/>
              <w:i w:val="0"/>
              <w:color w:val="C9A227"/>
              <w:sz w:val="16"/>
            </w:rPr>
            <w:t>TARGETED CV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A223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47D7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0A223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Arial" w:hAnsi="Arial"/>
      <w:b/>
      <w:color w:val="0A223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rPr>
      <w:rFonts w:ascii="Arial" w:hAnsi="Arial"/>
      <w:color w:val="5D6B78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inkedin.com/in/mahmoud-salama-30249b34" TargetMode="External"/><Relationship Id="rId12" Type="http://schemas.openxmlformats.org/officeDocument/2006/relationships/hyperlink" Target="https://mahmoud-salama.vercel.app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linkedin.com/in/mahmoud-salama-30249b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&amp; SOLUTION ARCHITECT</dc:title>
  <dc:subject>DIGITAL PLATFORMS | INTEGRATION | DATA ARCHITECTURE | APPLICATION MODERNIZATION</dc:subject>
  <dc:creator>Mahmoud Salama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