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23"/>
      </w:tblGrid>
      <w:tr>
        <w:tc>
          <w:tcPr>
            <w:tcW w:type="dxa" w:w="10123"/>
            <w:shd w:fill="0A2239"/>
            <w:vAlign w:val="center"/>
          </w:tcPr>
          <w:p>
            <w:pPr>
              <w:spacing w:before="100"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CAREER ASSETS ANALYSIS &amp; IMPLEMENTED STRATEGY</w:t>
            </w:r>
          </w:p>
        </w:tc>
      </w:tr>
      <w:tr>
        <w:tc>
          <w:tcPr>
            <w:tcW w:type="dxa" w:w="10123"/>
            <w:shd w:fill="EEF4F7"/>
          </w:tcPr>
          <w:p>
            <w:pPr>
              <w:spacing w:before="40" w:after="60"/>
              <w:jc w:val="center"/>
            </w:pPr>
            <w:r>
              <w:rPr>
                <w:rFonts w:ascii="Arial" w:hAnsi="Arial"/>
                <w:b/>
                <w:i w:val="0"/>
                <w:color w:val="147D7A"/>
                <w:sz w:val="19"/>
              </w:rPr>
              <w:t>CV | COVER LETTER | EXECUTIVE PORTFOLIO | WEBSITE DELIVERY PACKAGE</w:t>
            </w:r>
          </w:p>
        </w:tc>
      </w:tr>
    </w:tbl>
    <w:p>
      <w:pPr>
        <w:spacing w:before="40" w:after="100"/>
        <w:jc w:val="center"/>
      </w:pPr>
      <w:r>
        <w:rPr>
          <w:rFonts w:ascii="Arial" w:hAnsi="Arial"/>
          <w:b w:val="0"/>
          <w:i w:val="0"/>
          <w:color w:val="243746"/>
          <w:sz w:val="17"/>
        </w:rPr>
        <w:t xml:space="preserve">+20 122 015 6077  |  ma7moud.salamaaa@gmail.com  |  Cairo, Egypt  |  </w:t>
      </w:r>
      <w:hyperlink r:id="rId11">
        <w:r>
          <w:rPr>
            <w:color w:val="0AA6B4"/>
            <w:rFonts w:ascii="Arial" w:hAnsi="Arial"/>
            <w:sz w:val="18"/>
          </w:rPr>
          <w:t>LinkedIn</w:t>
        </w:r>
      </w:hyperlink>
      <w:r>
        <w:rPr>
          <w:rFonts w:ascii="Arial" w:hAnsi="Arial"/>
          <w:b w:val="0"/>
          <w:i w:val="0"/>
          <w:color w:val="243746"/>
          <w:sz w:val="17"/>
        </w:rPr>
        <w:t xml:space="preserve">  |  </w:t>
      </w:r>
      <w:hyperlink r:id="rId12">
        <w:r>
          <w:rPr>
            <w:color w:val="0AA6B4"/>
            <w:rFonts w:ascii="Arial" w:hAnsi="Arial"/>
            <w:sz w:val="18"/>
          </w:rPr>
          <w:t>Website</w:t>
        </w:r>
      </w:hyperlink>
    </w:p>
    <w:p>
      <w:pPr>
        <w:spacing w:after="80"/>
        <w:jc w:val="center"/>
      </w:pPr>
      <w:r>
        <w:rPr>
          <w:rFonts w:ascii="Arial" w:hAnsi="Arial"/>
          <w:b/>
          <w:i w:val="0"/>
          <w:color w:val="C9A227"/>
          <w:sz w:val="16"/>
        </w:rPr>
        <w:t>Available within one month | Open to Egypt, GCC, Africa &amp; Remote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061"/>
            <w:shd w:fill="C9A227"/>
          </w:tcPr>
          <w:p/>
        </w:tc>
        <w:tc>
          <w:tcPr>
            <w:tcW w:type="dxa" w:w="5061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EXECUTIVE ASSESSMENT</w:t>
            </w:r>
          </w:p>
        </w:tc>
      </w:tr>
    </w:tbl>
    <w:p>
      <w:pPr>
        <w:spacing w:before="0" w:after="80" w:line="240" w:lineRule="auto"/>
      </w:pPr>
      <w:r>
        <w:rPr>
          <w:rFonts w:ascii="Arial" w:hAnsi="Arial"/>
          <w:b w:val="0"/>
          <w:i w:val="0"/>
          <w:color w:val="243746"/>
          <w:sz w:val="17"/>
        </w:rPr>
        <w:t>The source materials present a strong, evidence-led executive profile with unusual breadth: senior technology leadership, enterprise architecture, hands-on software engineering, national healthcare and government platforms, data and integration, GCC delivery, and formal governance appointments. The strongest differentiators are scale, measurable outcomes, regulated-sector credibility, and the ability to operate from boardroom strategy through architecture and delivery detail.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061"/>
            <w:shd w:fill="C9A227"/>
          </w:tcPr>
          <w:p/>
        </w:tc>
        <w:tc>
          <w:tcPr>
            <w:tcW w:type="dxa" w:w="5061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WHAT WAS ALREADY STRONG</w:t>
            </w:r>
          </w:p>
        </w:tc>
      </w:tr>
    </w:tbl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Compelling scale metrics: EGP 150M+ portfolio, 40+ professionals, 12,000+ entities, 150+ initiatives, 12M+ records daily, and 99%+ critical-platform availability.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Clear progression from Linux and software engineering into team leadership, enterprise systems, architecture, governance, and executive transformation leadership.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Strong sector credibility across government, healthcare, education, procurement, supply chain, and regulated institutional environments.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A publication-safe long-form portfolio demonstrating writing quality, methodology, case studies, leadership appointments, and confidentiality discipline.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Direct Egypt and Oman delivery experience with wider GCC relevance.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061"/>
            <w:shd w:fill="C9A227"/>
          </w:tcPr>
          <w:p/>
        </w:tc>
        <w:tc>
          <w:tcPr>
            <w:tcW w:type="dxa" w:w="5061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ISSUES LIMITING INTERVIEW CONVERSION</w:t>
            </w:r>
          </w:p>
        </w:tc>
      </w:tr>
    </w:tbl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One broad CV was trying to compete simultaneously for CIO/CTO, Enterprise Architect, and Transformation Director searches; each market uses different keywords and evaluates evidence differently.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The generic cover letter was credible but too broad for first-contact screening and did not immediately signal sector relevance.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The 12-page portfolio is valuable for shortlisted opportunities but too long as the default attachment for initial applications.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The market-facing title "Chief Technology &amp; Digital Transformation Officer" should not replace the official employment title. The revised files use the official title and keep executive positioning in the headline/subtitle.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Hospitality, aviation, banking, and other sector applications must emphasize transferable enterprise leadership without claiming specialist operational systems experience that is not documented.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The website needed role-specific landing pages and clear download choices rather than presenting every document as a generic asset.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061"/>
            <w:shd w:fill="C9A227"/>
          </w:tcPr>
          <w:p/>
        </w:tc>
        <w:tc>
          <w:tcPr>
            <w:tcW w:type="dxa" w:w="5061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ASSETS IMPLEMENTED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74"/>
        <w:gridCol w:w="3374"/>
        <w:gridCol w:w="3374"/>
      </w:tblGrid>
      <w:tr>
        <w:tc>
          <w:tcPr>
            <w:tcW w:type="dxa" w:w="3374"/>
            <w:shd w:fill="0A2239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Asset</w:t>
            </w:r>
          </w:p>
        </w:tc>
        <w:tc>
          <w:tcPr>
            <w:tcW w:type="dxa" w:w="3374"/>
            <w:shd w:fill="0A2239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Primary Use</w:t>
            </w:r>
          </w:p>
        </w:tc>
        <w:tc>
          <w:tcPr>
            <w:tcW w:type="dxa" w:w="3374"/>
            <w:shd w:fill="0A2239"/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Recommended Timing</w:t>
            </w:r>
          </w:p>
        </w:tc>
      </w:tr>
      <w:tr>
        <w:tc>
          <w:tcPr>
            <w:tcW w:type="dxa" w:w="3374"/>
            <w:shd w:fill="F7F9F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243746"/>
                <w:sz w:val="15"/>
              </w:rPr>
              <w:t>CTO / CIO / IT Director CV</w:t>
            </w:r>
          </w:p>
        </w:tc>
        <w:tc>
          <w:tcPr>
            <w:tcW w:type="dxa" w:w="3374"/>
            <w:shd w:fill="F7F9F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Executive technology, IT leadership, operations, governance</w:t>
            </w:r>
          </w:p>
        </w:tc>
        <w:tc>
          <w:tcPr>
            <w:tcW w:type="dxa" w:w="3374"/>
            <w:shd w:fill="F7F9F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Use for leadership searches and executive recruiters</w:t>
            </w:r>
          </w:p>
        </w:tc>
      </w:tr>
      <w:tr>
        <w:tc>
          <w:tcPr>
            <w:tcW w:type="dxa" w:w="337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243746"/>
                <w:sz w:val="15"/>
              </w:rPr>
              <w:t>Enterprise / Solution Architect CV</w:t>
            </w:r>
          </w:p>
        </w:tc>
        <w:tc>
          <w:tcPr>
            <w:tcW w:type="dxa" w:w="337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Architecture, integration, data, platforms, modernization</w:t>
            </w:r>
          </w:p>
        </w:tc>
        <w:tc>
          <w:tcPr>
            <w:tcW w:type="dxa" w:w="337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Use where architecture is a primary evaluation criterion</w:t>
            </w:r>
          </w:p>
        </w:tc>
      </w:tr>
      <w:tr>
        <w:tc>
          <w:tcPr>
            <w:tcW w:type="dxa" w:w="3374"/>
            <w:shd w:fill="F7F9F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243746"/>
                <w:sz w:val="15"/>
              </w:rPr>
              <w:t>Digital Transformation / Program Director CV</w:t>
            </w:r>
          </w:p>
        </w:tc>
        <w:tc>
          <w:tcPr>
            <w:tcW w:type="dxa" w:w="3374"/>
            <w:shd w:fill="F7F9F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Transformation, governance, program delivery, change</w:t>
            </w:r>
          </w:p>
        </w:tc>
        <w:tc>
          <w:tcPr>
            <w:tcW w:type="dxa" w:w="3374"/>
            <w:shd w:fill="F7F9F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Use for consulting, PMO, program and transformation roles</w:t>
            </w:r>
          </w:p>
        </w:tc>
      </w:tr>
      <w:tr>
        <w:tc>
          <w:tcPr>
            <w:tcW w:type="dxa" w:w="337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243746"/>
                <w:sz w:val="15"/>
              </w:rPr>
              <w:t>Four sector cover letters</w:t>
            </w:r>
          </w:p>
        </w:tc>
        <w:tc>
          <w:tcPr>
            <w:tcW w:type="dxa" w:w="337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Technology; healthcare/NGO; hospitality/aviation; consulting/public sector</w:t>
            </w:r>
          </w:p>
        </w:tc>
        <w:tc>
          <w:tcPr>
            <w:tcW w:type="dxa" w:w="337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Customize company, role, country, and two requirements</w:t>
            </w:r>
          </w:p>
        </w:tc>
      </w:tr>
      <w:tr>
        <w:tc>
          <w:tcPr>
            <w:tcW w:type="dxa" w:w="3374"/>
            <w:shd w:fill="F7F9F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243746"/>
                <w:sz w:val="15"/>
              </w:rPr>
              <w:t>Two-page executive portfolio</w:t>
            </w:r>
          </w:p>
        </w:tc>
        <w:tc>
          <w:tcPr>
            <w:tcW w:type="dxa" w:w="3374"/>
            <w:shd w:fill="F7F9F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Fast proof of scale, methods, and signature case studies</w:t>
            </w:r>
          </w:p>
        </w:tc>
        <w:tc>
          <w:tcPr>
            <w:tcW w:type="dxa" w:w="3374"/>
            <w:shd w:fill="F7F9FB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Attach to high-priority applications and recruiter outreach</w:t>
            </w:r>
          </w:p>
        </w:tc>
      </w:tr>
      <w:tr>
        <w:tc>
          <w:tcPr>
            <w:tcW w:type="dxa" w:w="337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/>
                <w:i w:val="0"/>
                <w:color w:val="243746"/>
                <w:sz w:val="15"/>
              </w:rPr>
              <w:t>Recruiter outreach pack + website</w:t>
            </w:r>
          </w:p>
        </w:tc>
        <w:tc>
          <w:tcPr>
            <w:tcW w:type="dxa" w:w="337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Direct networking, referrals, follow-up, personal brand</w:t>
            </w:r>
          </w:p>
        </w:tc>
        <w:tc>
          <w:tcPr>
            <w:tcW w:type="dxa" w:w="3374"/>
            <w:shd w:fill="EEF4F7"/>
            <w:tcBorders>
              <w:top w:val="single" w:sz="4" w:color="D9E2E8"/>
              <w:left w:val="single" w:sz="4" w:color="D9E2E8"/>
              <w:bottom w:val="single" w:sz="4" w:color="D9E2E8"/>
              <w:right w:val="single" w:sz="4" w:color="D9E2E8"/>
            </w:tcBorders>
          </w:tcPr>
          <w:p>
            <w:r>
              <w:rPr>
                <w:rFonts w:ascii="Arial" w:hAnsi="Arial"/>
                <w:b w:val="0"/>
                <w:i w:val="0"/>
                <w:color w:val="243746"/>
                <w:sz w:val="15"/>
              </w:rPr>
              <w:t>Use continuously alongside applications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061"/>
            <w:shd w:fill="C9A227"/>
          </w:tcPr>
          <w:p/>
        </w:tc>
        <w:tc>
          <w:tcPr>
            <w:tcW w:type="dxa" w:w="5061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USAGE RULES</w:t>
            </w:r>
          </w:p>
        </w:tc>
      </w:tr>
    </w:tbl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Do not send all three CVs together. Select the version matching the vacancy title and first five requirements.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Use the two-page portfolio for initial outreach; reserve the full 12-page portfolio for executive search, consulting, writing-sample requests, or advanced-stage review.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Replace every bracketed placeholder in a cover letter and add one sentence referencing a real company priority or vacancy requirement.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Keep the official current job title in employment history; use a market-facing headline to communicate level and target role.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Avoid unsupported claims such as Opera/Micros hotel systems, airline operational systems, core banking, Hyella, or other specialist tools unless direct evidence exists.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Track which CV and cover letter version was used for each application so interview outcomes can be compared.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"/>
        <w:gridCol w:w="9936"/>
      </w:tblGrid>
      <w:tr>
        <w:tc>
          <w:tcPr>
            <w:tcW w:type="dxa" w:w="5061"/>
            <w:shd w:fill="C9A227"/>
          </w:tcPr>
          <w:p/>
        </w:tc>
        <w:tc>
          <w:tcPr>
            <w:tcW w:type="dxa" w:w="5061"/>
            <w:shd w:fill="0A2239"/>
          </w:tcPr>
          <w:p>
            <w:pPr>
              <w:spacing w:before="30" w:after="3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RECOMMENDED APPLICATION SEQUENCE</w:t>
            </w:r>
          </w:p>
        </w:tc>
      </w:tr>
    </w:tbl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1. Identify the vacancy family and select the matching CV.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2. Customize the appropriate sector cover letter using the company name, role title, and two evidence-backed requirements.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3. Attach the two-page portfolio for high-priority roles; use the 12-page portfolio only when depth is valuable.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4. Contact a recruiter, employee, or hiring manager with a concise message from the outreach pack.</w:t>
      </w:r>
    </w:p>
    <w:p>
      <w:pPr>
        <w:spacing w:after="28" w:line="240" w:lineRule="auto"/>
        <w:ind w:left="259" w:hanging="173"/>
      </w:pPr>
      <w:r>
        <w:rPr>
          <w:rFonts w:ascii="Arial" w:hAnsi="Arial"/>
          <w:b/>
          <w:i w:val="0"/>
          <w:color w:val="0AA6B4"/>
          <w:sz w:val="16"/>
        </w:rPr>
        <w:t xml:space="preserve">• </w:t>
      </w:r>
      <w:r>
        <w:rPr>
          <w:rFonts w:ascii="Arial" w:hAnsi="Arial"/>
          <w:b w:val="0"/>
          <w:i w:val="0"/>
          <w:color w:val="243746"/>
          <w:sz w:val="16"/>
        </w:rPr>
        <w:t>5. Follow up after 7-10 days and record the response by source, role family, and asset version.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D6B78"/>
        <w:sz w:val="14"/>
      </w:rPr>
      <w:t xml:space="preserve">mahmoud-salama.vercel.app  |  Cairo, Egypt  |  </w:t>
    </w:r>
    <w:hyperlink r:id="rId1">
      <w:r>
        <w:rPr>
          <w:color w:val="0AA6B4"/>
          <w:rFonts w:ascii="Arial" w:hAnsi="Arial"/>
          <w:sz w:val="18"/>
        </w:rPr>
        <w:t>LinkedIn</w:t>
      </w:r>
    </w:hyperlink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2448"/>
    </w:tblGrid>
    <w:tr>
      <w:tc>
        <w:tcPr>
          <w:tcW w:type="dxa" w:w="5184"/>
          <w:tcBorders>
            <w:bottom w:val="single" w:sz="8" w:color="0AA6B4"/>
          </w:tcBorders>
        </w:tcPr>
        <w:p>
          <w:pPr>
            <w:jc w:val="left"/>
          </w:pPr>
          <w:r>
            <w:rPr>
              <w:rFonts w:ascii="Arial" w:hAnsi="Arial"/>
              <w:b/>
              <w:i w:val="0"/>
              <w:color w:val="0A2239"/>
              <w:sz w:val="17"/>
            </w:rPr>
            <w:t>MAHMOUD SALAMA</w:t>
          </w:r>
        </w:p>
      </w:tc>
      <w:tc>
        <w:tcPr>
          <w:tcW w:type="dxa" w:w="5184"/>
          <w:tcBorders>
            <w:bottom w:val="single" w:sz="8" w:color="0AA6B4"/>
          </w:tcBorders>
        </w:tcPr>
        <w:p>
          <w:pPr>
            <w:jc w:val="right"/>
          </w:pPr>
          <w:r>
            <w:rPr>
              <w:rFonts w:ascii="Arial" w:hAnsi="Arial"/>
              <w:b/>
              <w:i w:val="0"/>
              <w:color w:val="C9A227"/>
              <w:sz w:val="16"/>
            </w:rPr>
            <w:t>CAREER ASSET ANALYSIS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0A223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47D7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0A2239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Arial" w:hAnsi="Arial"/>
      <w:b/>
      <w:color w:val="0A223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rPr>
      <w:rFonts w:ascii="Arial" w:hAnsi="Arial"/>
      <w:color w:val="5D6B78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inkedin.com/in/mahmoud-salama-30249b34" TargetMode="External"/><Relationship Id="rId12" Type="http://schemas.openxmlformats.org/officeDocument/2006/relationships/hyperlink" Target="https://mahmoud-salama.vercel.app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linkedin.com/in/mahmoud-salama-30249b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Mahmoud Salama - Career Assets Analysis</dc:title>
  <dc:subject>Analysis and implementation plan</dc:subject>
  <dc:creator>Mahmoud Salama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