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0613"/>
            <w:shd w:fill="0A2239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8"/>
              </w:rPr>
              <w:t>EXECUTIVE TECHNOLOGY PORTFOLIO</w:t>
            </w:r>
          </w:p>
        </w:tc>
      </w:tr>
      <w:tr>
        <w:tc>
          <w:tcPr>
            <w:tcW w:type="dxa" w:w="10613"/>
            <w:shd w:fill="EEF4F7"/>
          </w:tcPr>
          <w:p>
            <w:pPr>
              <w:spacing w:before="40" w:after="60"/>
              <w:jc w:val="center"/>
            </w:pPr>
            <w:r>
              <w:rPr>
                <w:rFonts w:ascii="Arial" w:hAnsi="Arial"/>
                <w:b/>
                <w:i w:val="0"/>
                <w:color w:val="147D7A"/>
                <w:sz w:val="19"/>
              </w:rPr>
              <w:t>DIGITAL TRANSFORMATION | ENTERPRISE ARCHITECTURE | DATA &amp; INTEGRATION | PROGRAM DELIVERY</w:t>
            </w:r>
          </w:p>
        </w:tc>
      </w:tr>
    </w:tbl>
    <w:p>
      <w:pPr>
        <w:spacing w:before="40" w:after="100"/>
        <w:jc w:val="center"/>
      </w:pPr>
      <w:r>
        <w:rPr>
          <w:rFonts w:ascii="Arial" w:hAnsi="Arial"/>
          <w:b w:val="0"/>
          <w:i w:val="0"/>
          <w:color w:val="243746"/>
          <w:sz w:val="17"/>
        </w:rPr>
        <w:t xml:space="preserve">+20 122 015 6077  |  ma7moud.salamaaa@gmail.com  |  Cairo, Egypt  |  </w:t>
      </w:r>
      <w:hyperlink r:id="rId11">
        <w:r>
          <w:rPr>
            <w:color w:val="0AA6B4"/>
            <w:rFonts w:ascii="Arial" w:hAnsi="Arial"/>
            <w:sz w:val="18"/>
          </w:rPr>
          <w:t>LinkedIn</w:t>
        </w:r>
      </w:hyperlink>
      <w:r>
        <w:rPr>
          <w:rFonts w:ascii="Arial" w:hAnsi="Arial"/>
          <w:b w:val="0"/>
          <w:i w:val="0"/>
          <w:color w:val="243746"/>
          <w:sz w:val="17"/>
        </w:rPr>
        <w:t xml:space="preserve">  |  </w:t>
      </w:r>
      <w:hyperlink r:id="rId12">
        <w:r>
          <w:rPr>
            <w:color w:val="0AA6B4"/>
            <w:rFonts w:ascii="Arial" w:hAnsi="Arial"/>
            <w:sz w:val="18"/>
          </w:rPr>
          <w:t>Website</w:t>
        </w:r>
      </w:hyperlink>
    </w:p>
    <w:p>
      <w:pPr>
        <w:spacing w:after="80"/>
        <w:jc w:val="center"/>
      </w:pPr>
      <w:r>
        <w:rPr>
          <w:rFonts w:ascii="Arial" w:hAnsi="Arial"/>
          <w:b/>
          <w:i w:val="0"/>
          <w:color w:val="C9A227"/>
          <w:sz w:val="16"/>
        </w:rPr>
        <w:t>Available within one month | Open to Egypt, GCC, Africa &amp; Remote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8"/>
        <w:gridCol w:w="3538"/>
        <w:gridCol w:w="3538"/>
      </w:tblGrid>
      <w:tr>
        <w:tc>
          <w:tcPr>
            <w:tcW w:type="dxa" w:w="3538"/>
            <w:shd w:fill="EEF4F7"/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</w:tcPr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A2239"/>
                <w:sz w:val="22"/>
              </w:rPr>
              <w:t>18+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i w:val="0"/>
                <w:color w:val="5D6B78"/>
                <w:sz w:val="15"/>
              </w:rPr>
              <w:t>Years in technology</w:t>
            </w:r>
          </w:p>
        </w:tc>
        <w:tc>
          <w:tcPr>
            <w:tcW w:type="dxa" w:w="3538"/>
            <w:shd w:fill="EEF4F7"/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</w:tcPr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A2239"/>
                <w:sz w:val="22"/>
              </w:rPr>
              <w:t>EGP 150M+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i w:val="0"/>
                <w:color w:val="5D6B78"/>
                <w:sz w:val="15"/>
              </w:rPr>
              <w:t>Technology portfolio</w:t>
            </w:r>
          </w:p>
        </w:tc>
        <w:tc>
          <w:tcPr>
            <w:tcW w:type="dxa" w:w="3538"/>
            <w:shd w:fill="EEF4F7"/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</w:tcPr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A2239"/>
                <w:sz w:val="22"/>
              </w:rPr>
              <w:t>40+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i w:val="0"/>
                <w:color w:val="5D6B78"/>
                <w:sz w:val="15"/>
              </w:rPr>
              <w:t>Professionals led</w:t>
            </w:r>
          </w:p>
        </w:tc>
      </w:tr>
      <w:tr>
        <w:tc>
          <w:tcPr>
            <w:tcW w:type="dxa" w:w="3538"/>
            <w:shd w:fill="EEF4F7"/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</w:tcPr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A2239"/>
                <w:sz w:val="22"/>
              </w:rPr>
              <w:t>12,000+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i w:val="0"/>
                <w:color w:val="5D6B78"/>
                <w:sz w:val="15"/>
              </w:rPr>
              <w:t>Public-sector entities supported</w:t>
            </w:r>
          </w:p>
        </w:tc>
        <w:tc>
          <w:tcPr>
            <w:tcW w:type="dxa" w:w="3538"/>
            <w:shd w:fill="EEF4F7"/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</w:tcPr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A2239"/>
                <w:sz w:val="22"/>
              </w:rPr>
              <w:t>150+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i w:val="0"/>
                <w:color w:val="5D6B78"/>
                <w:sz w:val="15"/>
              </w:rPr>
              <w:t>Digital initiatives</w:t>
            </w:r>
          </w:p>
        </w:tc>
        <w:tc>
          <w:tcPr>
            <w:tcW w:type="dxa" w:w="3538"/>
            <w:shd w:fill="EEF4F7"/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</w:tcPr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A2239"/>
                <w:sz w:val="22"/>
              </w:rPr>
              <w:t>12M+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i w:val="0"/>
                <w:color w:val="5D6B78"/>
                <w:sz w:val="15"/>
              </w:rPr>
              <w:t>Records processed daily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306"/>
            <w:shd w:fill="C9A227"/>
          </w:tcPr>
          <w:p/>
        </w:tc>
        <w:tc>
          <w:tcPr>
            <w:tcW w:type="dxa" w:w="5306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EXECUTIVE VALUE PROPOSITION</w:t>
            </w:r>
          </w:p>
        </w:tc>
      </w:tr>
    </w:tbl>
    <w:p>
      <w:pPr>
        <w:spacing w:before="0" w:after="80" w:line="247" w:lineRule="auto"/>
      </w:pPr>
      <w:r>
        <w:rPr>
          <w:rFonts w:ascii="Arial" w:hAnsi="Arial"/>
          <w:b w:val="0"/>
          <w:i w:val="0"/>
          <w:color w:val="243746"/>
          <w:sz w:val="17"/>
        </w:rPr>
        <w:t>Technology and digital-transformation executive with 18+ years of experience connecting institutional priorities to secure architecture, governed delivery, adoption, and measurable operational outcomes. Combines public-sector leadership, enterprise architecture, software engineering, data platforms, systems integration, vendor governance, and GCC delivery experience.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306"/>
            <w:shd w:fill="C9A227"/>
          </w:tcPr>
          <w:p/>
        </w:tc>
        <w:tc>
          <w:tcPr>
            <w:tcW w:type="dxa" w:w="5306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THREE SIGNATURE CASE STUDIES</w:t>
            </w:r>
          </w:p>
        </w:tc>
      </w:tr>
    </w:tbl>
    <w:p>
      <w:pPr>
        <w:spacing w:before="30" w:after="14"/>
      </w:pPr>
      <w:r>
        <w:rPr>
          <w:rFonts w:ascii="Arial" w:hAnsi="Arial"/>
          <w:b/>
          <w:i w:val="0"/>
          <w:color w:val="0A2239"/>
          <w:sz w:val="17"/>
        </w:rPr>
        <w:t>MedIQ / Unified Procurement &amp; Medical Supply Ecosystem</w:t>
      </w:r>
    </w:p>
    <w:p>
      <w:pPr>
        <w:spacing w:after="16" w:line="240" w:lineRule="auto"/>
      </w:pPr>
      <w:r>
        <w:rPr>
          <w:rFonts w:ascii="Arial" w:hAnsi="Arial"/>
          <w:b w:val="0"/>
          <w:i w:val="0"/>
          <w:color w:val="243746"/>
          <w:sz w:val="16"/>
        </w:rPr>
        <w:t>Led architecture and governance of an integrated 10-platform ecosystem supporting RFPs, approvals, inventory, distribution, supplier processes, and supply-chain controls across 12,000+ public-sector entities. The environment processed 320,000+ automated validation checks and strengthened transparency, planning, and stock visibility.</w:t>
      </w:r>
    </w:p>
    <w:p>
      <w:pPr>
        <w:spacing w:after="28"/>
      </w:pPr>
      <w:r>
        <w:rPr>
          <w:rFonts w:ascii="Arial" w:hAnsi="Arial"/>
          <w:b/>
          <w:i w:val="0"/>
          <w:color w:val="C9A227"/>
          <w:sz w:val="15"/>
        </w:rPr>
        <w:t xml:space="preserve">Selected technology: </w:t>
      </w:r>
      <w:r>
        <w:rPr>
          <w:rFonts w:ascii="Arial" w:hAnsi="Arial"/>
          <w:b w:val="0"/>
          <w:i w:val="0"/>
          <w:color w:val="5D6B78"/>
          <w:sz w:val="15"/>
        </w:rPr>
        <w:t>ASP.NET, C#, React.js, Node.js, GraphQL, MySQL, APIs</w:t>
      </w:r>
    </w:p>
    <w:p>
      <w:pPr>
        <w:spacing w:before="30" w:after="14"/>
      </w:pPr>
      <w:r>
        <w:rPr>
          <w:rFonts w:ascii="Arial" w:hAnsi="Arial"/>
          <w:b/>
          <w:i w:val="0"/>
          <w:color w:val="0A2239"/>
          <w:sz w:val="17"/>
        </w:rPr>
        <w:t>Egypt National Health Sector Data Warehouse &amp; Analytics Layer</w:t>
      </w:r>
    </w:p>
    <w:p>
      <w:pPr>
        <w:spacing w:after="16" w:line="240" w:lineRule="auto"/>
      </w:pPr>
      <w:r>
        <w:rPr>
          <w:rFonts w:ascii="Arial" w:hAnsi="Arial"/>
          <w:b w:val="0"/>
          <w:i w:val="0"/>
          <w:color w:val="243746"/>
          <w:sz w:val="16"/>
        </w:rPr>
        <w:t>Led architecture of a governed enterprise data environment with PostgreSQL, data pipelines, master data, operational data stores, validation controls, Power BI, and Apache Superset. The reporting layer processes 12M+ records daily and contributed to approximately 70% faster executive reporting preparation.</w:t>
      </w:r>
    </w:p>
    <w:p>
      <w:pPr>
        <w:spacing w:after="28"/>
      </w:pPr>
      <w:r>
        <w:rPr>
          <w:rFonts w:ascii="Arial" w:hAnsi="Arial"/>
          <w:b/>
          <w:i w:val="0"/>
          <w:color w:val="C9A227"/>
          <w:sz w:val="15"/>
        </w:rPr>
        <w:t xml:space="preserve">Selected technology: </w:t>
      </w:r>
      <w:r>
        <w:rPr>
          <w:rFonts w:ascii="Arial" w:hAnsi="Arial"/>
          <w:b w:val="0"/>
          <w:i w:val="0"/>
          <w:color w:val="5D6B78"/>
          <w:sz w:val="15"/>
        </w:rPr>
        <w:t>PostgreSQL, SQL, Data Pipelines, MDM, ODS, Power BI, Apache Superset</w:t>
      </w:r>
    </w:p>
    <w:p>
      <w:pPr>
        <w:spacing w:before="30" w:after="14"/>
      </w:pPr>
      <w:r>
        <w:rPr>
          <w:rFonts w:ascii="Arial" w:hAnsi="Arial"/>
          <w:b/>
          <w:i w:val="0"/>
          <w:color w:val="0A2239"/>
          <w:sz w:val="17"/>
        </w:rPr>
        <w:t>Microsoft Dynamics 365 ERP &amp; CRM Integration</w:t>
      </w:r>
    </w:p>
    <w:p>
      <w:pPr>
        <w:spacing w:after="16" w:line="240" w:lineRule="auto"/>
      </w:pPr>
      <w:r>
        <w:rPr>
          <w:rFonts w:ascii="Arial" w:hAnsi="Arial"/>
          <w:b w:val="0"/>
          <w:i w:val="0"/>
          <w:color w:val="243746"/>
          <w:sz w:val="16"/>
        </w:rPr>
        <w:t>Directed integration architecture connecting procurement, operations, stakeholder services, reporting, and data platforms with Dynamics 365 through controlled exchange, mapping, validation, reconciliation, workflow alignment, monitoring, and audit controls.</w:t>
      </w:r>
    </w:p>
    <w:p>
      <w:pPr>
        <w:spacing w:after="28"/>
      </w:pPr>
      <w:r>
        <w:rPr>
          <w:rFonts w:ascii="Arial" w:hAnsi="Arial"/>
          <w:b/>
          <w:i w:val="0"/>
          <w:color w:val="C9A227"/>
          <w:sz w:val="15"/>
        </w:rPr>
        <w:t xml:space="preserve">Selected technology: </w:t>
      </w:r>
      <w:r>
        <w:rPr>
          <w:rFonts w:ascii="Arial" w:hAnsi="Arial"/>
          <w:b w:val="0"/>
          <w:i w:val="0"/>
          <w:color w:val="5D6B78"/>
          <w:sz w:val="15"/>
        </w:rPr>
        <w:t>Microsoft Dynamics 365, REST APIs, Data Connectors, Mapping, Audit Logs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306"/>
            <w:shd w:fill="C9A227"/>
          </w:tcPr>
          <w:p/>
        </w:tc>
        <w:tc>
          <w:tcPr>
            <w:tcW w:type="dxa" w:w="5306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TRANSFORMATION METHOD</w:t>
            </w:r>
          </w:p>
        </w:tc>
      </w:tr>
    </w:tbl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color w:val="147D7A"/>
          <w:sz w:val="16"/>
        </w:rPr>
        <w:t>1. Discover and diagnose  |  2. Define outcomes and governance  |  3. Design the target state  |  4. Deliver controlled increments  |  5. Enable adoption and operations  |  6. Measure, improve, and sustain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306"/>
            <w:shd w:fill="C9A227"/>
          </w:tcPr>
          <w:p/>
        </w:tc>
        <w:tc>
          <w:tcPr>
            <w:tcW w:type="dxa" w:w="5306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ADDITIONAL PORTFOLIO HIGHLIGHTS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306"/>
            <w:shd w:fill="F7F9F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i w:val="0"/>
                <w:color w:val="0A2239"/>
                <w:sz w:val="17"/>
              </w:rPr>
              <w:t>National Pharmaceutical Track &amp; Trace Program</w:t>
            </w:r>
          </w:p>
          <w:p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Shaped program vision, governance, compliance model, cross-agency coordination, interoperability principles, and the technology roadmap across UPA, the Egyptian Drug Authority, and the Ministry of Health.</w:t>
            </w:r>
          </w:p>
          <w:p>
            <w:r>
              <w:rPr>
                <w:rFonts w:ascii="Arial" w:hAnsi="Arial"/>
                <w:b/>
                <w:i w:val="0"/>
                <w:color w:val="C9A227"/>
                <w:sz w:val="14"/>
              </w:rPr>
              <w:t>Governance, Compliance, Interoperability, Program Roadmap</w:t>
            </w:r>
          </w:p>
        </w:tc>
        <w:tc>
          <w:tcPr>
            <w:tcW w:type="dxa" w:w="5306"/>
            <w:shd w:fill="EEF4F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i w:val="0"/>
                <w:color w:val="0A2239"/>
                <w:sz w:val="17"/>
              </w:rPr>
              <w:t>Oman National Educational Portal</w:t>
            </w:r>
          </w:p>
          <w:p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Led full-cycle delivery and cross-border engineering coordination for a large-scale e-learning and academic-management platform aligned with local e-government standards.</w:t>
            </w:r>
          </w:p>
          <w:p>
            <w:r>
              <w:rPr>
                <w:rFonts w:ascii="Arial" w:hAnsi="Arial"/>
                <w:b/>
                <w:i w:val="0"/>
                <w:color w:val="C9A227"/>
                <w:sz w:val="14"/>
              </w:rPr>
              <w:t>ASP.NET, C#, SQL Server, LMS, CMS, Dashboards</w:t>
            </w:r>
          </w:p>
        </w:tc>
      </w:tr>
      <w:tr>
        <w:tc>
          <w:tcPr>
            <w:tcW w:type="dxa" w:w="5306"/>
            <w:shd w:fill="F7F9F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i w:val="0"/>
                <w:color w:val="0A2239"/>
                <w:sz w:val="17"/>
              </w:rPr>
              <w:t>Health Technology Assessment Platform</w:t>
            </w:r>
          </w:p>
          <w:p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Directed digitization of evidence submission, controlled review, assessment tracking, role-based access, audit traceability, dashboards, and compliance reporting.</w:t>
            </w:r>
          </w:p>
          <w:p>
            <w:r>
              <w:rPr>
                <w:rFonts w:ascii="Arial" w:hAnsi="Arial"/>
                <w:b/>
                <w:i w:val="0"/>
                <w:color w:val="C9A227"/>
                <w:sz w:val="14"/>
              </w:rPr>
              <w:t>Workflow Engine, Dashboards, Audit Logs, RBAC, Compliance Reporting</w:t>
            </w:r>
          </w:p>
        </w:tc>
        <w:tc>
          <w:tcPr>
            <w:tcW w:type="dxa" w:w="5306"/>
            <w:shd w:fill="EEF4F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i w:val="0"/>
                <w:color w:val="0A2239"/>
                <w:sz w:val="17"/>
              </w:rPr>
              <w:t>Strategic Analytics &amp; Reporting Layer</w:t>
            </w:r>
          </w:p>
          <w:p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Real-time KPI visibility, automated validation, quality assurance, and executive operational intelligence.</w:t>
            </w:r>
          </w:p>
          <w:p>
            <w:r>
              <w:rPr>
                <w:rFonts w:ascii="Arial" w:hAnsi="Arial"/>
                <w:b/>
                <w:i w:val="0"/>
                <w:color w:val="C9A227"/>
                <w:sz w:val="14"/>
              </w:rPr>
              <w:t>Power BI, Apache Superset, SQL, PostgreSQL</w:t>
            </w:r>
          </w:p>
        </w:tc>
      </w:tr>
      <w:tr>
        <w:tc>
          <w:tcPr>
            <w:tcW w:type="dxa" w:w="5306"/>
            <w:shd w:fill="F7F9F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i w:val="0"/>
                <w:color w:val="0A2239"/>
                <w:sz w:val="17"/>
              </w:rPr>
              <w:t>Tenders, Contracts &amp; SLA Visibility</w:t>
            </w:r>
          </w:p>
          <w:p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Digital approvals, vendor scoring, contract workflows, fulfillment tracking, alerts, ownership dashboards, escalation, and audit traceability.</w:t>
            </w:r>
          </w:p>
          <w:p>
            <w:r>
              <w:rPr>
                <w:rFonts w:ascii="Arial" w:hAnsi="Arial"/>
                <w:b/>
                <w:i w:val="0"/>
                <w:color w:val="C9A227"/>
                <w:sz w:val="14"/>
              </w:rPr>
              <w:t>.NET, MySQL, Workflow, RBAC, BI Dashboards</w:t>
            </w:r>
          </w:p>
        </w:tc>
        <w:tc>
          <w:tcPr>
            <w:tcW w:type="dxa" w:w="5306"/>
            <w:shd w:fill="EEF4F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i w:val="0"/>
                <w:color w:val="0A2239"/>
                <w:sz w:val="17"/>
              </w:rPr>
              <w:t>Additional Enterprise Applications</w:t>
            </w:r>
          </w:p>
          <w:p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Electronic pharmacy, correspondence, asset management, crisis management, recruitment ATS, customer care, notifications, SMS gateway, and unified mobile services.</w:t>
            </w:r>
          </w:p>
          <w:p>
            <w:r>
              <w:rPr>
                <w:rFonts w:ascii="Arial" w:hAnsi="Arial"/>
                <w:b/>
                <w:i w:val="0"/>
                <w:color w:val="C9A227"/>
                <w:sz w:val="14"/>
              </w:rPr>
              <w:t>.NET, APIs, Databases, Workflow, Mobile Integration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306"/>
            <w:shd w:fill="C9A227"/>
          </w:tcPr>
          <w:p/>
        </w:tc>
        <w:tc>
          <w:tcPr>
            <w:tcW w:type="dxa" w:w="5306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LEADERSHIP &amp; GOVERNANCE</w:t>
            </w:r>
          </w:p>
        </w:tc>
      </w:tr>
    </w:tbl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Digital Transformation Committee Member - World Bank Group B-READY Egypt Assessment (2025-2026).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Board Member - National Blood Operations Oversight, appointed by Egypt's Minister of Health (2021-2024).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Governance Lead - National Pharmaceutical Track &amp; Trace Program, UPA / EDA / Ministry of Health (2021-2024).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International Speaker - Bioinformatics &amp; Digital Health, Manama Health Congress &amp; Expo, Bahrain (2022).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Digital Health &amp; Technology Contributor - Africa Health ExCon, Cairo (2021-Present).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306"/>
            <w:shd w:fill="C9A227"/>
          </w:tcPr>
          <w:p/>
        </w:tc>
        <w:tc>
          <w:tcPr>
            <w:tcW w:type="dxa" w:w="5306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CORE CAPABILITY STACK</w:t>
            </w:r>
          </w:p>
        </w:tc>
      </w:tr>
    </w:tbl>
    <w:p>
      <w:pPr>
        <w:spacing w:after="12"/>
      </w:pPr>
      <w:r>
        <w:rPr>
          <w:rFonts w:ascii="Arial" w:hAnsi="Arial"/>
          <w:b/>
          <w:i w:val="0"/>
          <w:color w:val="0A2239"/>
          <w:sz w:val="15"/>
        </w:rPr>
        <w:t xml:space="preserve">Executive &amp; Governance: </w:t>
      </w:r>
      <w:r>
        <w:rPr>
          <w:rFonts w:ascii="Arial" w:hAnsi="Arial"/>
          <w:b w:val="0"/>
          <w:i w:val="0"/>
          <w:color w:val="243746"/>
          <w:sz w:val="15"/>
        </w:rPr>
        <w:t>Technology Strategy, Digital Transformation, IT Operating Models, Enterprise Architecture, Portfolio Governance, Vendor Governance, Executive Stakeholder Management, Program Governance, Change &amp; Adoption</w:t>
      </w:r>
    </w:p>
    <w:p>
      <w:pPr>
        <w:spacing w:after="12"/>
      </w:pPr>
      <w:r>
        <w:rPr>
          <w:rFonts w:ascii="Arial" w:hAnsi="Arial"/>
          <w:b/>
          <w:i w:val="0"/>
          <w:color w:val="0A2239"/>
          <w:sz w:val="15"/>
        </w:rPr>
        <w:t xml:space="preserve">Architecture &amp; Integration: </w:t>
      </w:r>
      <w:r>
        <w:rPr>
          <w:rFonts w:ascii="Arial" w:hAnsi="Arial"/>
          <w:b w:val="0"/>
          <w:i w:val="0"/>
          <w:color w:val="243746"/>
          <w:sz w:val="15"/>
        </w:rPr>
        <w:t>Capability Mapping, Target-State Architecture, Solution Architecture, REST APIs, GraphQL, Integration Governance, Data Contracts, Microsoft Dynamics 365 ERP/CRM Integration, Application Modernization</w:t>
      </w:r>
    </w:p>
    <w:p>
      <w:pPr>
        <w:spacing w:after="12"/>
      </w:pPr>
      <w:r>
        <w:rPr>
          <w:rFonts w:ascii="Arial" w:hAnsi="Arial"/>
          <w:b/>
          <w:i w:val="0"/>
          <w:color w:val="0A2239"/>
          <w:sz w:val="15"/>
        </w:rPr>
        <w:t xml:space="preserve">Data &amp; Analytics: </w:t>
      </w:r>
      <w:r>
        <w:rPr>
          <w:rFonts w:ascii="Arial" w:hAnsi="Arial"/>
          <w:b w:val="0"/>
          <w:i w:val="0"/>
          <w:color w:val="243746"/>
          <w:sz w:val="15"/>
        </w:rPr>
        <w:t>PostgreSQL, SQL Server, MySQL, Data Pipelines, Master Data Management, Operational Data Stores, Data Governance, Power BI, Apache Superset, Forecasting Support, Risk &amp; Anomaly Analysis</w:t>
      </w:r>
    </w:p>
    <w:p>
      <w:pPr>
        <w:spacing w:after="12"/>
      </w:pPr>
      <w:r>
        <w:rPr>
          <w:rFonts w:ascii="Arial" w:hAnsi="Arial"/>
          <w:b/>
          <w:i w:val="0"/>
          <w:color w:val="0A2239"/>
          <w:sz w:val="15"/>
        </w:rPr>
        <w:t xml:space="preserve">Engineering &amp; Delivery: </w:t>
      </w:r>
      <w:r>
        <w:rPr>
          <w:rFonts w:ascii="Arial" w:hAnsi="Arial"/>
          <w:b w:val="0"/>
          <w:i w:val="0"/>
          <w:color w:val="243746"/>
          <w:sz w:val="15"/>
        </w:rPr>
        <w:t>C#, ASP.NET Core, .NET Framework, Entity Framework, React.js, Node.js, JavaScript, HTML5, CSS3, Agile, SDLC, QA, Git, Docker, Jenkins, CI/CD, Jira, Postman</w:t>
      </w:r>
    </w:p>
    <w:p>
      <w:pPr>
        <w:spacing w:after="12"/>
      </w:pPr>
      <w:r>
        <w:rPr>
          <w:rFonts w:ascii="Arial" w:hAnsi="Arial"/>
          <w:b/>
          <w:i w:val="0"/>
          <w:color w:val="0A2239"/>
          <w:sz w:val="15"/>
        </w:rPr>
        <w:t xml:space="preserve">Security &amp; Operations: </w:t>
      </w:r>
      <w:r>
        <w:rPr>
          <w:rFonts w:ascii="Arial" w:hAnsi="Arial"/>
          <w:b w:val="0"/>
          <w:i w:val="0"/>
          <w:color w:val="243746"/>
          <w:sz w:val="15"/>
        </w:rPr>
        <w:t>RBAC, API Security, Secure Coding, Audit Logs, Data Protection, Backup &amp; Recovery Governance, Monitoring, Release Governance, Service Governance, Technical Documentation</w:t>
      </w:r>
    </w:p>
    <w:p>
      <w:pPr>
        <w:spacing w:before="80"/>
        <w:jc w:val="center"/>
      </w:pPr>
      <w:r>
        <w:rPr>
          <w:rFonts w:ascii="Arial" w:hAnsi="Arial"/>
          <w:b/>
          <w:i w:val="0"/>
          <w:color w:val="147D7A"/>
          <w:sz w:val="16"/>
        </w:rPr>
        <w:t>Full 12-page portfolio and supporting evidence available for shortlisted opportunities.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605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D6B78"/>
        <w:sz w:val="14"/>
      </w:rPr>
      <w:t xml:space="preserve">mahmoud-salama.vercel.app  |  Cairo, Egypt  |  </w:t>
    </w:r>
    <w:hyperlink r:id="rId1">
      <w:r>
        <w:rPr>
          <w:color w:val="0AA6B4"/>
          <w:rFonts w:ascii="Arial" w:hAnsi="Arial"/>
          <w:sz w:val="18"/>
        </w:rPr>
        <w:t>LinkedIn</w:t>
      </w:r>
    </w:hyperlink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2448"/>
    </w:tblGrid>
    <w:tr>
      <w:tc>
        <w:tcPr>
          <w:tcW w:type="dxa" w:w="5184"/>
          <w:tcBorders>
            <w:bottom w:val="single" w:sz="8" w:color="0AA6B4"/>
          </w:tcBorders>
        </w:tcPr>
        <w:p>
          <w:pPr>
            <w:jc w:val="left"/>
          </w:pPr>
          <w:r>
            <w:rPr>
              <w:rFonts w:ascii="Arial" w:hAnsi="Arial"/>
              <w:b/>
              <w:i w:val="0"/>
              <w:color w:val="0A2239"/>
              <w:sz w:val="17"/>
            </w:rPr>
            <w:t>MAHMOUD SALAMA</w:t>
          </w:r>
        </w:p>
      </w:tc>
      <w:tc>
        <w:tcPr>
          <w:tcW w:type="dxa" w:w="5184"/>
          <w:tcBorders>
            <w:bottom w:val="single" w:sz="8" w:color="0AA6B4"/>
          </w:tcBorders>
        </w:tcPr>
        <w:p>
          <w:pPr>
            <w:jc w:val="right"/>
          </w:pPr>
          <w:r>
            <w:rPr>
              <w:rFonts w:ascii="Arial" w:hAnsi="Arial"/>
              <w:b/>
              <w:i w:val="0"/>
              <w:color w:val="C9A227"/>
              <w:sz w:val="16"/>
            </w:rPr>
            <w:t>EXECUTIVE PORTFOLIO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A223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47D7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0A2239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Arial" w:hAnsi="Arial"/>
      <w:b/>
      <w:color w:val="0A223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rPr>
      <w:rFonts w:ascii="Arial" w:hAnsi="Arial"/>
      <w:color w:val="5D6B78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inkedin.com/in/mahmoud-salama-30249b34" TargetMode="External"/><Relationship Id="rId12" Type="http://schemas.openxmlformats.org/officeDocument/2006/relationships/hyperlink" Target="https://mahmoud-salama.vercel.app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linkedin.com/in/mahmoud-salama-30249b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Mahmoud Salama - Executive Portfolio</dc:title>
  <dc:subject>Two-page executive portfolio</dc:subject>
  <dc:creator>Mahmoud Salama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