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73B57"/>
          <w:sz w:val="38"/>
        </w:rPr>
        <w:t>MAHMOUD SALAMA</w:t>
      </w:r>
    </w:p>
    <w:p>
      <w:pPr>
        <w:spacing w:after="60"/>
        <w:jc w:val="center"/>
      </w:pPr>
      <w:r>
        <w:rPr>
          <w:rFonts w:ascii="Arial" w:hAnsi="Arial"/>
          <w:b/>
          <w:color w:val="173B57"/>
          <w:sz w:val="21"/>
        </w:rPr>
        <w:t>ENTERPRISE ARCHITECT</w:t>
      </w:r>
    </w:p>
    <w:p>
      <w:pPr>
        <w:spacing w:after="140"/>
        <w:jc w:val="center"/>
        <w:pBdr>
          <w:bottom w:val="single" w:sz="8" w:space="4" w:color="173B57"/>
        </w:pBdr>
      </w:pPr>
      <w:r>
        <w:rPr>
          <w:rFonts w:ascii="Arial" w:hAnsi="Arial"/>
          <w:color w:val="606A74"/>
          <w:sz w:val="17"/>
        </w:rPr>
        <w:t>+20 122 015 6077  |  ma7moud.salamaaa@gmail.com  |  Cairo, Egypt</w:t>
        <w:br/>
        <w:t>linkedin.com/in/mahmoud-salama-30249b34  |  mahmoud-salama.vercel.app</w:t>
      </w:r>
    </w:p>
    <w:p>
      <w:pPr>
        <w:spacing w:before="160" w:after="200"/>
      </w:pPr>
      <w:r>
        <w:rPr>
          <w:b/>
        </w:rPr>
        <w:t>Dear Hiring Manager,</w:t>
      </w:r>
    </w:p>
    <w:p>
      <w:r>
        <w:t>I am interested in enterprise-architecture roles requiring target-state thinking, governance, integration, data, standards and a strong connection between architecture and delivery. I govern enterprise and solution architecture for configurable, modular and API-driven capabilities spanning shared services, RBAC, workflows, document/archiving functions, auditability, data governance, integrations, security, performance, resilience and business continuity.</w:t>
      </w:r>
    </w:p>
    <w:p>
      <w:r>
        <w:t>My architecture perspective comes from delivery rather than theory alone. I progressed from hands-on engineering through development leadership and enterprise/e-government implementation before moving into national-scale technology governance. I can therefore translate business capability needs into pragmatic architecture decisions while accounting for engineering feasibility, integration dependencies, operational readiness and long-term maintainability.</w:t>
      </w:r>
    </w:p>
    <w:p>
      <w:r>
        <w:t>I would bring a structured, outcome-focused approach: clear ownership, strong stakeholder alignment, disciplined governance, practical technical judgment and attention to what is required for successful implementation and sustainable operation.</w:t>
      </w:r>
    </w:p>
    <w:p>
      <w:r>
        <w:t>I would welcome the opportunity to discuss how this experience could support your organization's priorities and the outcomes expected from the role.</w:t>
      </w:r>
    </w:p>
    <w:p>
      <w:pPr>
        <w:spacing w:before="140" w:after="0"/>
      </w:pPr>
      <w:r>
        <w:rPr>
          <w:b/>
        </w:rPr>
        <w:t>Sincerely,</w:t>
        <w:br/>
      </w:r>
      <w:r>
        <w:t>Mahmoud Salama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088"/>
        <w:sz w:val="14"/>
      </w:rPr>
      <w:t>MAHMOUD SALAMA  |  COVER LETTER MASTER — FINAL FROZEN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70"/>
    </w:pPr>
    <w:rPr>
      <w:rFonts w:ascii="Arial" w:hAnsi="Arial"/>
      <w:color w:val="2A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