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0" w:after="10" w:line="240" w:lineRule="auto"/>
        <w:jc w:val="center"/>
      </w:pPr>
      <w:r>
        <w:rPr>
          <w:rFonts w:ascii="Arial" w:hAnsi="Arial" w:eastAsia="Arial"/>
          <w:b/>
          <w:color w:val="183B56"/>
          <w:sz w:val="40"/>
        </w:rPr>
        <w:t>MAHMOUD SALAMA</w:t>
      </w:r>
    </w:p>
    <w:p>
      <w:pPr>
        <w:keepNext w:val="0"/>
        <w:pageBreakBefore w:val="0"/>
        <w:spacing w:before="0" w:after="36" w:line="240" w:lineRule="auto"/>
        <w:jc w:val="center"/>
      </w:pPr>
      <w:r>
        <w:rPr>
          <w:rFonts w:ascii="Arial" w:hAnsi="Arial" w:eastAsia="Arial"/>
          <w:b/>
          <w:color w:val="183B56"/>
          <w:sz w:val="21"/>
        </w:rPr>
        <w:t>CTO / IT DIRECTOR | TECHNOLOGY STRATEGY, ENTERPRISE SYSTEMS &amp; DIGITAL OPERATIONS</w:t>
      </w:r>
    </w:p>
    <w:p>
      <w:pPr>
        <w:keepNext w:val="0"/>
        <w:pageBreakBefore w:val="0"/>
        <w:spacing w:before="0" w:after="25" w:line="240" w:lineRule="auto"/>
        <w:jc w:val="center"/>
      </w:pPr>
      <w:r>
        <w:rPr>
          <w:rFonts w:ascii="Arial" w:hAnsi="Arial" w:eastAsia="Arial"/>
          <w:b w:val="0"/>
          <w:color w:val="5D6974"/>
          <w:sz w:val="16"/>
        </w:rPr>
        <w:t>Technology Strategy | IT Operating Model | Enterprise Architecture | Applications, Data, Risk, Continuity &amp; Third-Party Coordination</w:t>
      </w:r>
    </w:p>
    <w:p>
      <w:pPr>
        <w:keepNext w:val="0"/>
        <w:pageBreakBefore w:val="0"/>
        <w:spacing w:before="0" w:after="25" w:line="240" w:lineRule="auto"/>
        <w:jc w:val="center"/>
      </w:pPr>
      <w:r>
        <w:rPr>
          <w:rFonts w:ascii="Arial" w:hAnsi="Arial" w:eastAsia="Arial"/>
          <w:b w:val="0"/>
          <w:color w:val="5D6974"/>
          <w:sz w:val="16"/>
        </w:rPr>
        <w:t>+20 122 015 6077 | ma7moud.salamaaa@gmail.com | Cairo, Egypt</w:t>
      </w:r>
    </w:p>
    <w:p>
      <w:pPr>
        <w:keepNext w:val="0"/>
        <w:pageBreakBefore w:val="0"/>
        <w:spacing w:before="0" w:after="72" w:line="240" w:lineRule="auto"/>
        <w:jc w:val="center"/>
        <w:pBdr>
          <w:bottom w:val="single" w:sz="9" w:space="3" w:color="173B57"/>
        </w:pBdr>
      </w:pPr>
      <w:r>
        <w:rPr>
          <w:rFonts w:ascii="Arial" w:hAnsi="Arial" w:eastAsia="Arial"/>
          <w:b w:val="0"/>
          <w:color w:val="5D6974"/>
          <w:sz w:val="16"/>
        </w:rPr>
        <w:t>linkedin.com/in/mahmoud-salama-30249b34 | mahmoud-salama.vercel.app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PROFESSIONAL PROFILE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 w:eastAsia="Arial"/>
          <w:i w:val="0"/>
          <w:color w:val="111111"/>
          <w:sz w:val="17"/>
        </w:rPr>
        <w:t>Technology executive and software-engineering leader with 18+ years of experience spanning hands-on C#/.NET development, enterprise applications, solution and enterprise architecture, digital transformation, information-systems leadership, and large-scale service delivery across Egypt and the GCC. Leads a 54-person technology organization across four major functions with seven direct reports. Combines engineering depth with operating-model design, portfolio governance and third-party coordination, modernization, data and integration, service operations, risk/continuity oversight, and executive stakeholder leadership.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CORE LEADERSHIP AREAS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 w:eastAsia="Arial"/>
          <w:i w:val="0"/>
          <w:color w:val="123B4A"/>
          <w:sz w:val="17"/>
        </w:rPr>
        <w:t>IT &amp; Technology Strategy | Technology Operating Model | Enterprise &amp; Solution Architecture | Portfolio &amp; SDLC Governance | Digital Transformation | Service Operations | Information Security Governance | IT Risk | Technology Vendor Management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SELECTED CAREER IMPACT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Lead a 54-person technology organization across four major functions, strengthening architecture, delivery, service governance and executive accountability.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Modernized core workflows within a national procurement ecosystem operating at ~1M transactions/month across ~60K users, ~90K facilities/entities and ~300 suppliers, replacing fragmented manual processes with governed digital services.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Shaped governance and technology direction for national initiatives including Pharmaceutical Track &amp; Trace, alongside multi-agency digital transformation and interoperability work.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Led delivery across 15+ enterprise/e-government platforms in Oman, including the ~1M-user National Educational Portal and the Sultan Qaboos Award-winning Ministry of Education Recruitment System.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/>
          <w:b w:val="0"/>
          <w:color w:val="262F38"/>
          <w:sz w:val="17"/>
        </w:rPr>
        <w:t>• Led hands-on delivery across 150+ major and mid-sized projects at Keyframe, including multiple award-winning digital solutions across government, healthcare, education and commercial sectors.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PROFESSIONAL EXPERIENCE</w:t>
      </w:r>
    </w:p>
    <w:p>
      <w:pPr>
        <w:keepNext/>
        <w:pageBreakBefore w:val="0"/>
        <w:tabs>
          <w:tab w:pos="10080" w:val="right"/>
        </w:tabs>
        <w:spacing w:before="72" w:after="16" w:line="240" w:lineRule="auto"/>
      </w:pPr>
      <w:r>
        <w:rPr>
          <w:rFonts w:ascii="Arial" w:hAnsi="Arial"/>
          <w:b/>
          <w:color w:val="183B56"/>
          <w:sz w:val="18"/>
        </w:rPr>
        <w:t>The Egyptian Authority for Unified Procurement, Medical Supply and Management of Medical Technology (UPA) | Cairo, Egypt</w:t>
      </w:r>
      <w:r>
        <w:tab/>
      </w:r>
      <w:r>
        <w:rPr>
          <w:rFonts w:ascii="Arial" w:hAnsi="Arial"/>
          <w:b/>
          <w:color w:val="46525E"/>
          <w:sz w:val="17"/>
        </w:rPr>
        <w:t>05/2025 - Present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Head of the Central Administration for Information Systems &amp; Digital Transformation</w:t>
      </w:r>
    </w:p>
    <w:p>
      <w:pPr>
        <w:keepNext/>
        <w:pageBreakBefore w:val="0"/>
        <w:spacing w:before="0" w:after="40" w:line="240" w:lineRule="auto"/>
      </w:pPr>
      <w:r>
        <w:rPr>
          <w:rFonts w:ascii="Arial" w:hAnsi="Arial" w:eastAsia="Arial"/>
          <w:b w:val="0"/>
          <w:i/>
          <w:color w:val="5D6974"/>
          <w:sz w:val="16"/>
        </w:rPr>
        <w:t>Scope: Technology Strategy | Enterprise Systems &amp; Architecture | Portfolio, Risk, Service Governance &amp; Third-Party Coordination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Lead a 54-person technology organization across four major functions with seven direct reports spanning software, applications, analysis, QA/reporting, support/customer service, architecture, data and delivery governance.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Own the evolution of a unified national enterprise procurement platform covering demand consolidation, approvals, tendering, supplier evaluation, award/contracting, purchase orders, delivery/receipt, reporting, auditability, and support at national scale.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Govern enterprise/solution architecture for configurable, modular, API-first platforms covering RBAC, workflow/rules, DMS, auditability, data quality, integration, security, performance and resilience.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Direct SDLC and portfolio delivery, architecture/release governance, production readiness, incident/RCA, technology vendor and third-party coordination, change management and modernization.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Lead service operations for ~60K users through a ~20-person support/customer-service function covering service desk/call center, CRM case handling, SLAs, escalation, onboarding, training and adoption.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Drive IT and technology strategy, technology operating model and engineering standards; strengthen data governance, information-security governance, IT risk controls, executive KPIs and controlled enterprise AI adoption.</w:t>
      </w:r>
    </w:p>
    <w:p>
      <w:pPr>
        <w:keepNext w:val="0"/>
        <w:pageBreakBefore w:val="0"/>
        <w:tabs>
          <w:tab w:pos="10080" w:val="right"/>
        </w:tabs>
        <w:spacing w:before="50" w:after="41" w:line="240" w:lineRule="auto"/>
      </w:pPr>
      <w:r>
        <w:rPr>
          <w:rFonts w:ascii="Arial" w:hAnsi="Arial"/>
          <w:b/>
          <w:color w:val="183B56"/>
          <w:sz w:val="18"/>
        </w:rPr>
        <w:t>The Egyptian Authority for Unified Procurement, Medical Supply and Management of Medical Technology (UPA) | Cairo, Egypt</w:t>
      </w:r>
      <w:r>
        <w:tab/>
      </w:r>
      <w:r>
        <w:rPr>
          <w:rFonts w:ascii="Arial" w:hAnsi="Arial"/>
          <w:b/>
          <w:color w:val="46525E"/>
          <w:sz w:val="17"/>
        </w:rPr>
        <w:t>10/2020 - 05/2025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General Manager - Systems, Applications &amp; Technical Support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Directed applications, systems, technical support, and customer-service delivery across procurement, medical-supply, inventory, reporting, CMS/publishing, enterprise workflows, and stakeholder-service capabilities.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Built and modernized configurable digital workflows that replaced large volumes of manual, paper-, Excel-, and email-based processes, improving turnaround, traceability, governance, and operational efficiency.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Strengthened engineering and service delivery through clearer ownership, technical standards, design/code reviews, QA/release gates, documentation, incident/RCA practices, knowledge transfer, and repeatable support procedures.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Coordinated complex multi-agency initiatives and nationwide onboarding, training, support, issue escalation, feedback, and adoption across public-sector stakeholders.</w:t>
      </w:r>
    </w:p>
    <w:p>
      <w:pPr>
        <w:pageBreakBefore w:val="0"/>
      </w:pPr>
      <w:r/>
    </w:p>
    <w:p>
      <w:pPr>
        <w:keepNext w:val="0"/>
        <w:pageBreakBefore w:val="0"/>
        <w:tabs>
          <w:tab w:pos="10080" w:val="right"/>
        </w:tabs>
        <w:spacing w:before="50" w:after="41" w:line="240" w:lineRule="auto"/>
      </w:pPr>
      <w:r>
        <w:rPr>
          <w:rFonts w:ascii="Arial" w:hAnsi="Arial"/>
          <w:b/>
          <w:color w:val="183B56"/>
          <w:sz w:val="18"/>
        </w:rPr>
        <w:t>Integral Solutions LLC | Muscat, Oman</w:t>
      </w:r>
      <w:r>
        <w:tab/>
      </w:r>
      <w:r>
        <w:rPr>
          <w:rFonts w:ascii="Arial" w:hAnsi="Arial"/>
          <w:b/>
          <w:color w:val="46525E"/>
          <w:sz w:val="17"/>
        </w:rPr>
        <w:t>05/2016 - 10/2020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Development Team Leader &amp; Senior Full-Stack Developer | Government Client Assignments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Led a 10+ developer team while remaining hands-on across 15+ enterprise/e-government platforms; worked extensively on Oman Ministry of Education’s national Educational Portal (~1M users) across development, database/reporting, testing, deployment, rollout and production support.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Delivered the Ministry of Education Recruitment System — recipient of the Sultan Qaboos Award — plus International Schools, Crisis Management and Asset Management systems; also contributed to Ministry of Agriculture delivery and Al Wahat Club Management System for Royal Court Affairs.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Worked across full-cycle government-system delivery using C#/.NET, ASP.NET, SQL Server/MySQL, JavaScript, REST/SOAP services, workflow/RBAC, reporting, integrations, testing, deployment and production-support practices.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tabs>
          <w:tab w:pos="10080" w:val="right"/>
        </w:tabs>
        <w:spacing w:before="50" w:after="41" w:line="240" w:lineRule="auto"/>
      </w:pPr>
      <w:r>
        <w:rPr>
          <w:rFonts w:ascii="Arial" w:hAnsi="Arial"/>
          <w:b/>
          <w:color w:val="183B56"/>
          <w:sz w:val="18"/>
        </w:rPr>
        <w:t>Keyframe Egypt | Cairo, Egypt</w:t>
      </w:r>
      <w:r>
        <w:tab/>
      </w:r>
      <w:r>
        <w:rPr>
          <w:rFonts w:ascii="Arial" w:hAnsi="Arial"/>
          <w:b/>
          <w:color w:val="46525E"/>
          <w:sz w:val="17"/>
        </w:rPr>
        <w:t>04/2011 - 05/2016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Development Team Leader &amp; Senior Full-Stack Developer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Led a 6-person development team while remaining deeply hands-on across 150+ major and mid-sized projects in government, healthcare, education, construction, automotive, events and commercial sectors; small projects are not included in this count.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keepNext w:val="0"/>
        <w:pageBreakBefore w:val="0"/>
        <w:spacing w:after="44"/>
        <w:ind w:left="230" w:hanging="158"/>
      </w:pPr>
      <w:r>
        <w:rPr>
          <w:rFonts w:ascii="Arial" w:hAnsi="Arial"/>
          <w:b w:val="0"/>
          <w:color w:val="262F38"/>
          <w:sz w:val="17"/>
        </w:rPr>
        <w:t>• Delivered multiple award-winning digital solutions, including Yashfeen, an ITIDA competition-winning healthcare portal.</w:t>
      </w:r>
    </w:p>
    <CT_P/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Built and customized CMS/electronic-publishing solutions, including a custom .NET CMS plus hands-on Umbraco and Kentico work, with multilingual/RTL publishing, workflows, versioning, archiving, permissions, search, SEO, analytics, and integrations.</w:t>
      </w:r>
    </w:p>
    <w:p>
      <w:pPr>
        <w:keepNext w:val="0"/>
        <w:pageBreakBefore w:val="0"/>
        <w:tabs>
          <w:tab w:pos="10080" w:val="right"/>
        </w:tabs>
        <w:spacing w:before="50" w:after="41" w:line="240" w:lineRule="auto"/>
      </w:pPr>
      <w:r>
        <w:rPr>
          <w:rFonts w:ascii="Arial" w:hAnsi="Arial"/>
          <w:b/>
          <w:color w:val="183B56"/>
          <w:sz w:val="18"/>
        </w:rPr>
        <w:t>Egyptian Armed Forces | Egypt</w:t>
      </w:r>
      <w:r>
        <w:tab/>
      </w:r>
      <w:r>
        <w:rPr>
          <w:rFonts w:ascii="Arial" w:hAnsi="Arial"/>
          <w:b/>
          <w:color w:val="46525E"/>
          <w:sz w:val="17"/>
        </w:rPr>
        <w:t>04/2008 - 10/2010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Linux Systems &amp; Web Developer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LEADERSHIP APPOINTMENTS &amp; GOVERNANCE CONTRIBUTIONS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Member, Egypt Digital Transformation Committee supporting the World Bank Group B-READY Assessment (2025-2026): contributed technical input on private-sector digitization, public-service modernization and national competitiveness.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Board Member - National Blood Operations Oversight (2021-2024), appointed by Egypt's Minister of Health: oversaw digital governance, data integrity, and technology standards for the national blood-supply system.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Governance Lead - National Pharmaceutical Track &amp; Trace Program (2021-2024): shaped the vision, governance framework, compliance model, stakeholder coordination, and technology roadmap across UPA, EDA, and Ministry of Health stakeholders.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SELECTED ENTERPRISE PLATFORMS &amp; PROGRAMS</w:t>
      </w:r>
    </w:p>
    <w:p>
      <w:pPr>
        <w:keepNext w:val="0"/>
        <w:pageBreakBefore w:val="0"/>
        <w:spacing w:before="20" w:after="41" w:line="240" w:lineRule="auto"/>
      </w:pPr>
      <w:r>
        <w:rPr>
          <w:rFonts w:ascii="Arial" w:hAnsi="Arial" w:eastAsia="Arial"/>
          <w:b/>
          <w:color w:val="123B4A"/>
          <w:sz w:val="17"/>
        </w:rPr>
        <w:t>UPA National Procurement &amp; MediQ Ecosystem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 w:eastAsia="Arial"/>
          <w:color w:val="111111"/>
          <w:sz w:val="17"/>
        </w:rPr>
        <w:t>National-scale procurement, medical-supply and inventory/warehouse capabilities with configurable workflows, auditability, analytics/reporting, support services and enterprise integrations; core procurement operations run at ~1M transactions/month.</w:t>
      </w:r>
    </w:p>
    <w:p>
      <w:pPr>
        <w:keepNext w:val="0"/>
        <w:pageBreakBefore w:val="0"/>
        <w:spacing w:before="20" w:after="41" w:line="240" w:lineRule="auto"/>
      </w:pPr>
      <w:r>
        <w:rPr>
          <w:rFonts w:ascii="Arial" w:hAnsi="Arial" w:eastAsia="Arial"/>
          <w:b/>
          <w:color w:val="123B4A"/>
          <w:sz w:val="17"/>
        </w:rPr>
        <w:t>National Pharmaceutical Track &amp; Trace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 w:eastAsia="Arial"/>
          <w:color w:val="111111"/>
          <w:sz w:val="17"/>
        </w:rPr>
        <w:t>Governance and technology roadmap across UPA, Egyptian Drug Authority and Ministry of Health stakeholders, focused on compliance, interoperability, data integrity and coordinated national delivery.</w:t>
      </w:r>
    </w:p>
    <w:p>
      <w:pPr>
        <w:keepNext w:val="0"/>
        <w:pageBreakBefore w:val="0"/>
        <w:spacing w:before="20" w:after="41" w:line="240" w:lineRule="auto"/>
      </w:pPr>
      <w:r>
        <w:rPr>
          <w:rFonts w:ascii="Arial" w:hAnsi="Arial" w:eastAsia="Arial"/>
          <w:b/>
          <w:color w:val="123B4A"/>
          <w:sz w:val="17"/>
        </w:rPr>
        <w:t>Oman Government Digital Platforms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 w:eastAsia="Arial"/>
          <w:color w:val="111111"/>
          <w:sz w:val="17"/>
        </w:rPr>
        <w:t>Led delivery and contributed hands-on across 15+ platforms including the ~1M-user National Educational Portal, Maktabi/Morasalat Electronic Correspondence, Sultan Qaboos Award-winning Ministry of Education Recruitment System, International Schools, Crisis/Asset Management, Al Wahat Club (Royal Court Affairs) and Ministry of Agriculture delivery.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TECHNICAL &amp; MANAGEMENT CAPABILITIES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/>
          <w:b/>
          <w:color w:val="183B56"/>
          <w:sz w:val="17"/>
        </w:rPr>
        <w:t xml:space="preserve">Executive &amp; Governance: </w:t>
      </w:r>
      <w:r>
        <w:rPr>
          <w:rFonts w:ascii="Arial" w:hAnsi="Arial"/>
          <w:b w:val="0"/>
          <w:color w:val="262F38"/>
          <w:sz w:val="17"/>
        </w:rPr>
        <w:t>Technology Strategy, IT Operating Model, Organization Design, Portfolio/Roadmaps, Executive Stakeholders, Third-Party Coordination, Service Governance, Risk/Controls, Business Continuity/DR Oversight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/>
          <w:b/>
          <w:color w:val="183B56"/>
          <w:sz w:val="17"/>
        </w:rPr>
        <w:t xml:space="preserve">Architecture &amp; Engineering: </w:t>
      </w:r>
      <w:r>
        <w:rPr>
          <w:rFonts w:ascii="Arial" w:hAnsi="Arial"/>
          <w:b w:val="0"/>
          <w:color w:val="262F38"/>
          <w:sz w:val="17"/>
        </w:rPr>
        <w:t>Enterprise/Solution Architecture, API-First &amp; Integration Architecture, Multi-Tenant/Configurable Platforms, C#, .NET / ASP.NET Web Forms/Core/Web API, JavaScript, SQL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/>
          <w:b/>
          <w:color w:val="183B56"/>
          <w:sz w:val="17"/>
        </w:rPr>
        <w:t xml:space="preserve">Enterprise Platforms &amp; Operations: </w:t>
      </w:r>
      <w:r>
        <w:rPr>
          <w:rFonts w:ascii="Arial" w:hAnsi="Arial"/>
          <w:b w:val="0"/>
          <w:color w:val="262F38"/>
          <w:sz w:val="17"/>
        </w:rPr>
        <w:t>E-Procurement, Workflow/BPM, CMS/Electronic Publishing, DMS/Archiving, RBAC/Audit, Technical Support &amp; Customer Service, Service Desk/Call Center, SLA/Incident/RCA, Training/Adoption, Data Governance &amp; Reporting Architecture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/>
          <w:b/>
          <w:color w:val="183B56"/>
          <w:sz w:val="17"/>
        </w:rPr>
        <w:t xml:space="preserve">Tools, Data &amp; AI: </w:t>
      </w:r>
      <w:r>
        <w:rPr>
          <w:rFonts w:ascii="Arial" w:hAnsi="Arial"/>
          <w:b w:val="0"/>
          <w:color w:val="262F38"/>
          <w:sz w:val="17"/>
        </w:rPr>
        <w:t>PostgreSQL, SQL Server, MySQL, Redis, Git/TFS, Jenkins, Postman, Swagger/OpenAPI, Visual Studio/VS Code, Applied AI &amp; Automation, AI-Assisted Engineering &amp; Analysis, Agentic Workflows, Enterprise AI Governance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EDUCATION &amp; LANGUAGES</w:t>
      </w:r>
    </w:p>
    <w:p>
      <w:pPr>
        <w:keepNext/>
        <w:pageBreakBefore w:val="0"/>
        <w:spacing w:before="72" w:after="16" w:line="247" w:lineRule="auto"/>
      </w:pPr>
      <w:r>
        <w:rPr>
          <w:rFonts w:ascii="Arial" w:hAnsi="Arial"/>
          <w:b/>
          <w:color w:val="183B56"/>
          <w:sz w:val="17"/>
        </w:rPr>
        <w:t xml:space="preserve">Education: </w:t>
      </w:r>
      <w:r>
        <w:rPr>
          <w:rFonts w:ascii="Arial" w:hAnsi="Arial"/>
          <w:b w:val="0"/>
          <w:color w:val="262F38"/>
          <w:sz w:val="17"/>
        </w:rPr>
        <w:t>B.Sc. in Computer Science, Faculty of Computers &amp; Informatics, Zagazig University | 2003-2007</w:t>
      </w:r>
    </w:p>
    <w:p>
      <w:pPr>
        <w:keepNext w:val="0"/>
        <w:pageBreakBefore w:val="0"/>
        <w:spacing w:before="0" w:after="41" w:line="247" w:lineRule="auto"/>
      </w:pPr>
      <w:r>
        <w:rPr>
          <w:rFonts w:ascii="Arial" w:hAnsi="Arial"/>
          <w:b/>
          <w:color w:val="183B56"/>
          <w:sz w:val="17"/>
        </w:rPr>
        <w:t xml:space="preserve">Languages: </w:t>
      </w:r>
      <w:r>
        <w:rPr>
          <w:rFonts w:ascii="Arial" w:hAnsi="Arial"/>
          <w:b w:val="0"/>
          <w:color w:val="262F38"/>
          <w:sz w:val="17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34" w:right="922" w:bottom="634" w:left="922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color w:val="6E7680"/>
        <w:sz w:val="13"/>
      </w:rPr>
    </w:r>
    <w:r>
      <w:rPr>
        <w:rFonts w:ascii="Arial" w:hAnsi="Arial"/>
        <w:color w:val="6E7680"/>
        <w:sz w:val="13"/>
      </w:rPr>
      <w:t>MAHMOUD SALAMA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1" w:line="242" w:lineRule="auto"/>
    </w:pPr>
    <w:rPr>
      <w:rFonts w:ascii="Arial" w:hAnsi="Arial"/>
      <w:color w:val="262F3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