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spacing w:before="0" w:after="10" w:line="240" w:lineRule="auto"/>
        <w:jc w:val="center"/>
      </w:pPr>
      <w:r>
        <w:rPr>
          <w:rFonts w:ascii="Arial" w:hAnsi="Arial" w:eastAsia="Arial"/>
          <w:b/>
          <w:color w:val="183B56"/>
          <w:sz w:val="40"/>
        </w:rPr>
        <w:t>MAHMOUD SALAMA</w:t>
      </w:r>
    </w:p>
    <w:p>
      <w:pPr>
        <w:keepNext w:val="0"/>
        <w:pageBreakBefore w:val="0"/>
        <w:spacing w:before="0" w:after="40" w:line="240" w:lineRule="auto"/>
        <w:jc w:val="center"/>
      </w:pPr>
      <w:r>
        <w:rPr>
          <w:rFonts w:ascii="Arial" w:hAnsi="Arial" w:eastAsia="Arial"/>
          <w:b/>
          <w:color w:val="183B56"/>
          <w:sz w:val="21"/>
        </w:rPr>
        <w:t>DIGITAL TRANSFORMATION DIRECTOR | ENTERPRISE MODERNIZATION &amp; CHANGE LEADERSHIP</w:t>
      </w:r>
    </w:p>
    <w:p>
      <w:pPr>
        <w:keepNext w:val="0"/>
        <w:pageBreakBefore w:val="0"/>
        <w:spacing w:before="0" w:after="28" w:line="240" w:lineRule="auto"/>
        <w:jc w:val="center"/>
      </w:pPr>
      <w:r>
        <w:rPr>
          <w:rFonts w:ascii="Arial" w:hAnsi="Arial" w:eastAsia="Arial"/>
          <w:b w:val="0"/>
          <w:color w:val="5D6974"/>
          <w:sz w:val="16"/>
        </w:rPr>
        <w:t>Digital Strategy | Business &amp; Process Transformation | Change &amp; Adoption | Data Governance | Benefits Realization</w:t>
      </w:r>
    </w:p>
    <w:p>
      <w:pPr>
        <w:keepNext w:val="0"/>
        <w:pageBreakBefore w:val="0"/>
        <w:spacing w:before="0" w:after="28" w:line="240" w:lineRule="auto"/>
        <w:jc w:val="center"/>
      </w:pPr>
      <w:r>
        <w:rPr>
          <w:rFonts w:ascii="Arial" w:hAnsi="Arial" w:eastAsia="Arial"/>
          <w:b w:val="0"/>
          <w:color w:val="5D6974"/>
          <w:sz w:val="16"/>
        </w:rPr>
        <w:t>+20 122 015 6077 | ma7moud.salamaaa@gmail.com | Cairo, Egypt</w:t>
      </w:r>
    </w:p>
    <w:p>
      <w:pPr>
        <w:keepNext w:val="0"/>
        <w:pageBreakBefore w:val="0"/>
        <w:spacing w:before="0" w:after="80" w:line="240" w:lineRule="auto"/>
        <w:jc w:val="center"/>
        <w:pBdr>
          <w:bottom w:val="single" w:sz="9" w:space="3" w:color="173B57"/>
        </w:pBdr>
      </w:pPr>
      <w:r>
        <w:rPr>
          <w:rFonts w:ascii="Arial" w:hAnsi="Arial" w:eastAsia="Arial"/>
          <w:b w:val="0"/>
          <w:color w:val="5D6974"/>
          <w:sz w:val="16"/>
        </w:rPr>
        <w:t>linkedin.com/in/mahmoud-salama-30249b34 | mahmoud-salama.vercel.app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PROFESSIONAL PROFILE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 w:eastAsia="Arial"/>
          <w:i w:val="0"/>
          <w:color w:val="111111"/>
          <w:sz w:val="18"/>
        </w:rPr>
        <w:t>Digital transformation and technology leader with 18+ years of experience modernizing enterprise platforms and high-volume government services across Egypt and the GCC. Combines hands-on software and architecture depth with digital strategy, As-Is/To-Be analysis, process redesign, operating-model transformation, program governance, change management, data governance, stakeholder leadership, benefits realization and measurable service improvement.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CORE LEADERSHIP AREAS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 w:eastAsia="Arial"/>
          <w:i w:val="0"/>
          <w:color w:val="123B4A"/>
          <w:sz w:val="18"/>
        </w:rPr>
        <w:t>Digital Strategy &amp; Transformation Roadmaps | As-Is/To-Be &amp; Process Redesign | Operating Model &amp; Platform Modernization | Program/Portfolio Governance | Change Management &amp; Adoption | Data Governance | Benefits Realization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SELECTED CAREER IMPACT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Lead modernization of core workflows across a national procurement ecosystem serving ~60K users and ~90K facilities/entities, with core procurement operations at ~1M transactions/month.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Modernized procurement, medical-supply and inventory/warehouse operations through governed digital workflows and MediQ capabilities, strengthening traceability, auditability, service consistency and operational control.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Shaped governance and technology direction for the National Pharmaceutical Track &amp; Trace Program across UPA, the Egyptian Drug Authority and Ministry of Health stakeholders, aligning compliance, interoperability, data integrity and delivery.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Led delivery across 15+ enterprise/e-government platforms in Oman, including the ~1M-user National Educational Portal and the Sultan Qaboos Award-winning Ministry of Education Recruitment System.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PROFESSIONAL EXPERIENCE</w:t>
      </w:r>
    </w:p>
    <w:p>
      <w:pPr>
        <w:keepNext/>
        <w:pageBreakBefore w:val="0"/>
        <w:tabs>
          <w:tab w:pos="10080" w:val="right"/>
        </w:tabs>
        <w:spacing w:before="84" w:after="18" w:line="240" w:lineRule="auto"/>
      </w:pPr>
      <w:r>
        <w:rPr>
          <w:rFonts w:ascii="Arial" w:hAnsi="Arial"/>
          <w:b/>
          <w:color w:val="183B56"/>
          <w:sz w:val="18"/>
        </w:rPr>
        <w:t>The Egyptian Authority for Unified Procurement, Medical Supply and Management of Medical Technology (UPA) | Cairo, Egypt</w:t>
      </w:r>
      <w:r>
        <w:tab/>
      </w:r>
      <w:r>
        <w:rPr>
          <w:rFonts w:ascii="Arial" w:hAnsi="Arial"/>
          <w:b/>
          <w:color w:val="46525E"/>
          <w:sz w:val="17"/>
        </w:rPr>
        <w:t>05/2025 - Present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 w:eastAsia="Arial"/>
          <w:b/>
          <w:color w:val="183B56"/>
          <w:sz w:val="18"/>
        </w:rPr>
        <w:t>Head of the Central Administration for Information Systems &amp; Digital Transformation</w:t>
      </w:r>
    </w:p>
    <w:p>
      <w:pPr>
        <w:keepNext/>
        <w:pageBreakBefore w:val="0"/>
        <w:spacing w:before="0" w:after="44" w:line="240" w:lineRule="auto"/>
      </w:pPr>
      <w:r>
        <w:rPr>
          <w:rFonts w:ascii="Arial" w:hAnsi="Arial" w:eastAsia="Arial"/>
          <w:b w:val="0"/>
          <w:i/>
          <w:color w:val="5D6974"/>
          <w:sz w:val="16"/>
        </w:rPr>
        <w:t>Scope: Digital Transformation Strategy | Enterprise Modernization | Program Governance, Change &amp; Adoption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Lead digital strategy and transformation-roadmap execution for a unified national procurement platform spanning demand, approvals, tendering, supplier evaluation, contracting, purchase orders, delivery/receipt, reporting, auditability and support.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Translate As-Is pain points into To-Be processes, prioritized workstreams, platform and data/integration requirements, governance models, stakeholder plans, benefits measures and service outcomes.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Direct cross-functional business and technology transformation across a 54-person organization, aligning analysis, architecture, engineering, QA/reporting, data, service operations and delivery governance.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Drive process digitization through configurable workflows, shared services, role/data-level access, document/archiving, publishing, reporting and integrations while maintaining security, resilience and operational ownership.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Lead change management and nationwide adoption through stakeholder engagement, onboarding, training, support, CRM/service feedback, escalation and service-readiness controls; use operational evidence to drive continuous improvement.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Advance data governance, executive reporting, transformation KPIs, benefits-realization and service-performance visibility, and controlled enterprise AI adoption as part of institutional modernization.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pageBreakBefore w:val="0"/>
      </w:pPr>
      <w:r/>
    </w:p>
    <w:p>
      <w:pPr>
        <w:keepNext w:val="0"/>
        <w:pageBreakBefore w:val="0"/>
        <w:tabs>
          <w:tab w:pos="10080" w:val="right"/>
        </w:tabs>
        <w:spacing w:before="50" w:after="56" w:line="240" w:lineRule="auto"/>
      </w:pPr>
      <w:r>
        <w:rPr>
          <w:rFonts w:ascii="Arial" w:hAnsi="Arial"/>
          <w:b/>
          <w:color w:val="183B56"/>
          <w:sz w:val="18"/>
        </w:rPr>
        <w:t>The Egyptian Authority for Unified Procurement, Medical Supply and Management of Medical Technology (UPA) | Cairo, Egypt</w:t>
      </w:r>
      <w:r>
        <w:tab/>
      </w:r>
      <w:r>
        <w:rPr>
          <w:rFonts w:ascii="Arial" w:hAnsi="Arial"/>
          <w:b/>
          <w:color w:val="46525E"/>
          <w:sz w:val="17"/>
        </w:rPr>
        <w:t>10/2020 - 05/2025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 w:eastAsia="Arial"/>
          <w:b/>
          <w:color w:val="183B56"/>
          <w:sz w:val="18"/>
        </w:rPr>
        <w:t>General Manager - Systems, Applications &amp; Technical Support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 xml:space="preserve">• </w:t>
      </w:r>
      <w:r>
        <w:rPr>
          <w:rFonts w:ascii="Arial" w:hAnsi="Arial" w:eastAsia="Arial"/>
          <w:b w:val="0"/>
          <w:color w:val="262F38"/>
          <w:sz w:val="18"/>
        </w:rPr>
        <w:t>Modernized procurement, medical-supply, inventory, reporting, CMS/publishing, workflow, and stakeholder-service processes while maintaining operational continuity.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 xml:space="preserve">• </w:t>
      </w:r>
      <w:r>
        <w:rPr>
          <w:rFonts w:ascii="Arial" w:hAnsi="Arial" w:eastAsia="Arial"/>
          <w:b w:val="0"/>
          <w:color w:val="262F38"/>
          <w:sz w:val="18"/>
        </w:rPr>
        <w:t>Converted high-volume manual, paper-, Excel-, and email-based processes into configurable digital workflows with stronger traceability, consistency, approvals, auditability, and governance.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 xml:space="preserve">• </w:t>
      </w:r>
      <w:r>
        <w:rPr>
          <w:rFonts w:ascii="Arial" w:hAnsi="Arial" w:eastAsia="Arial"/>
          <w:b w:val="0"/>
          <w:color w:val="262F38"/>
          <w:sz w:val="18"/>
        </w:rPr>
        <w:t>Improved adoption and delivery readiness through stakeholder engagement, training, support, documentation, QA/release controls, escalation, and structured feedback loops.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 xml:space="preserve">• </w:t>
      </w:r>
      <w:r>
        <w:rPr>
          <w:rFonts w:ascii="Arial" w:hAnsi="Arial" w:eastAsia="Arial"/>
          <w:b w:val="0"/>
          <w:color w:val="262F38"/>
          <w:sz w:val="18"/>
        </w:rPr>
        <w:t>Coordinated multi-agency transformation initiatives, aligning requirements, technology decisions, data, compliance, rollout, and operational readiness.</w:t>
      </w:r>
    </w:p>
    <w:p>
      <w:pPr>
        <w:keepNext w:val="0"/>
        <w:pageBreakBefore w:val="0"/>
        <w:tabs>
          <w:tab w:pos="10080" w:val="right"/>
        </w:tabs>
        <w:spacing w:before="50" w:after="56" w:line="240" w:lineRule="auto"/>
      </w:pPr>
      <w:r>
        <w:rPr>
          <w:rFonts w:ascii="Arial" w:hAnsi="Arial"/>
          <w:b/>
          <w:color w:val="183B56"/>
          <w:sz w:val="18"/>
        </w:rPr>
        <w:t>Integral Solutions LLC | Muscat, Oman</w:t>
      </w:r>
      <w:r>
        <w:tab/>
      </w:r>
      <w:r>
        <w:rPr>
          <w:rFonts w:ascii="Arial" w:hAnsi="Arial"/>
          <w:b/>
          <w:color w:val="46525E"/>
          <w:sz w:val="17"/>
        </w:rPr>
        <w:t>05/2016 - 10/2020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 w:eastAsia="Arial"/>
          <w:b/>
          <w:color w:val="183B56"/>
          <w:sz w:val="18"/>
        </w:rPr>
        <w:t>Development Team Leader &amp; Senior Full-Stack Developer | Government Client Assignments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Led a 10+ developer team while remaining hands-on in analysis, C#/.NET development, database/reporting, testing, deployment and production support across 15+ enterprise/e-government platforms, including Oman Ministry of Education’s ~1M-user National Educational Portal.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Contributed extensively to the large-scale Maktabi / Morasalat electronic correspondence platform for Omani government entities, working hands-on on correspondence creation, routing, forwarding and tracking, reports, database components, functional testing, defect investigation, production deployment and release/application support.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Delivered the Ministry of Education Recruitment System — recipient of the Sultan Qaboos Award — plus International Schools, Crisis Management and Asset Management systems; also contributed to Ministry of Agriculture delivery and Al Wahat Club Management System for Royal Court Affairs.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tabs>
          <w:tab w:pos="10080" w:val="right"/>
        </w:tabs>
        <w:spacing w:before="50" w:after="56" w:line="240" w:lineRule="auto"/>
      </w:pPr>
      <w:r>
        <w:rPr>
          <w:rFonts w:ascii="Arial" w:hAnsi="Arial"/>
          <w:b/>
          <w:color w:val="183B56"/>
          <w:sz w:val="18"/>
        </w:rPr>
        <w:t>Keyframe Egypt | Cairo, Egypt</w:t>
      </w:r>
      <w:r>
        <w:tab/>
      </w:r>
      <w:r>
        <w:rPr>
          <w:rFonts w:ascii="Arial" w:hAnsi="Arial"/>
          <w:b/>
          <w:color w:val="46525E"/>
          <w:sz w:val="17"/>
        </w:rPr>
        <w:t>04/2011 - 05/2016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 w:eastAsia="Arial"/>
          <w:b/>
          <w:color w:val="183B56"/>
          <w:sz w:val="18"/>
        </w:rPr>
        <w:t>Development Team Leader &amp; Senior Full-Stack Developer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Led a 6-person development team while remaining deeply hands-on across 150+ major and mid-sized projects, excluding small engagements, across government, healthcare, education, construction, automotive, events and commercial sectors.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Delivered public-sector and enterprise solutions spanning Ministry of Health work, conference platforms, education and HR systems, support desks and integrations, covering analysis, C#/.NET development, databases, reporting, testing, deployment and support.</w:t>
      </w:r>
    </w:p>
    <w:p>
      <w:pPr>
        <w:keepNext w:val="0"/>
        <w:pageBreakBefore w:val="0"/>
        <w:spacing w:after="53"/>
        <w:ind w:left="245" w:hanging="173"/>
      </w:pPr>
      <w:r>
        <w:rPr>
          <w:rFonts w:ascii="Arial" w:hAnsi="Arial"/>
          <w:b w:val="0"/>
          <w:color w:val="262F38"/>
          <w:sz w:val="18"/>
        </w:rPr>
        <w:t>• Delivered multiple award-winning digital solutions, including Yashfeen, an ITIDA competition-winning healthcare portal.</w:t>
      </w:r>
    </w:p>
    <CT_P/>
    <w:p>
      <w:pPr>
        <w:keepNext w:val="0"/>
        <w:pageBreakBefore w:val="0"/>
        <w:tabs>
          <w:tab w:pos="10080" w:val="right"/>
        </w:tabs>
        <w:spacing w:before="50" w:after="56" w:line="240" w:lineRule="auto"/>
      </w:pPr>
      <w:r>
        <w:rPr>
          <w:rFonts w:ascii="Arial" w:hAnsi="Arial"/>
          <w:b/>
          <w:color w:val="183B56"/>
          <w:sz w:val="18"/>
        </w:rPr>
        <w:t>Egyptian Armed Forces | Egypt</w:t>
      </w:r>
      <w:r>
        <w:tab/>
      </w:r>
      <w:r>
        <w:rPr>
          <w:rFonts w:ascii="Arial" w:hAnsi="Arial"/>
          <w:b/>
          <w:color w:val="46525E"/>
          <w:sz w:val="17"/>
        </w:rPr>
        <w:t>04/2008 - 10/2010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 w:eastAsia="Arial"/>
          <w:b/>
          <w:color w:val="183B56"/>
          <w:sz w:val="18"/>
        </w:rPr>
        <w:t>Linux Systems &amp; Web Developer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 xml:space="preserve">• </w:t>
      </w:r>
      <w:r>
        <w:rPr>
          <w:rFonts w:ascii="Arial" w:hAnsi="Arial" w:eastAsia="Arial"/>
          <w:b w:val="0"/>
          <w:color w:val="262F38"/>
          <w:sz w:val="18"/>
        </w:rPr>
        <w:t>Contributed to Egypt's first Linux distribution, working on Linux from Scratch builds, kernel modules, optimization, and platform hardening; also built secure internal ASP.NET/SQL Server applications.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LEADERSHIP APPOINTMENTS &amp; GOVERNANCE CONTRIBUTIONS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Member, Egypt Digital Transformation Committee supporting the World Bank Group B-READY Assessment (2025-2026): contributed technical input on private-sector digitization, public-service modernization and national competitiveness.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 xml:space="preserve">• </w:t>
      </w:r>
      <w:r>
        <w:rPr>
          <w:rFonts w:ascii="Arial" w:hAnsi="Arial" w:eastAsia="Arial"/>
          <w:b w:val="0"/>
          <w:color w:val="262F38"/>
          <w:sz w:val="18"/>
        </w:rPr>
        <w:t>Board Member - National Blood Operations Oversight (2021-2024), appointed by Egypt's Minister of Health: oversaw digital governance, data integrity, and technology standards for the national blood-supply system.</w:t>
      </w:r>
    </w:p>
    <w:p>
      <w:pPr>
        <w:keepNext w:val="0"/>
        <w:pageBreakBefore w:val="0"/>
        <w:spacing w:after="53"/>
        <w:ind w:left="245" w:hanging="173"/>
      </w:pPr>
      <w:r>
        <w:rPr>
          <w:rFonts w:ascii="Arial" w:hAnsi="Arial"/>
          <w:b w:val="0"/>
          <w:color w:val="262F38"/>
          <w:sz w:val="18"/>
        </w:rPr>
        <w:t>• Governance Lead - National Pharmaceutical Track &amp; Trace Program (2021-2024): shaped the vision, governance framework, compliance model, stakeholder coordination and technology roadmap across UPA, EDA and Ministry of Health stakeholders.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TECHNICAL &amp; MANAGEMENT CAPABILITIES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/>
          <w:color w:val="183B56"/>
          <w:sz w:val="18"/>
        </w:rPr>
        <w:t xml:space="preserve">Transformation: </w:t>
      </w:r>
      <w:r>
        <w:rPr>
          <w:rFonts w:ascii="Arial" w:hAnsi="Arial"/>
          <w:b w:val="0"/>
          <w:color w:val="262F38"/>
          <w:sz w:val="18"/>
        </w:rPr>
        <w:t>Digital Strategy, Transformation Roadmaps, As-Is/To-Be, Business Process Redesign, Operating Model Transformation, Program/Portfolio Governance, Change Management, Stakeholder Management, Benefits Realization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/>
          <w:color w:val="183B56"/>
          <w:sz w:val="18"/>
        </w:rPr>
        <w:t xml:space="preserve">Platforms &amp; Data: </w:t>
      </w:r>
      <w:r>
        <w:rPr>
          <w:rFonts w:ascii="Arial" w:hAnsi="Arial"/>
          <w:b w:val="0"/>
          <w:color w:val="262F38"/>
          <w:sz w:val="18"/>
        </w:rPr>
        <w:t>Enterprise Platforms, Workflow/BPM, CMS/DMS, Data Governance, MDM/Reference Data, Data Quality, Reporting &amp; Analytics, API/Enterprise Integration, RBAC/Audit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/>
          <w:color w:val="183B56"/>
          <w:sz w:val="18"/>
        </w:rPr>
        <w:t xml:space="preserve">Delivery &amp; Governance: </w:t>
      </w:r>
      <w:r>
        <w:rPr>
          <w:rFonts w:ascii="Arial" w:hAnsi="Arial"/>
          <w:b w:val="0"/>
          <w:color w:val="262F38"/>
          <w:sz w:val="18"/>
        </w:rPr>
        <w:t>Requirements, Program Delivery, Architecture Reviews, QA/UAT, Release/Go-Live, Training &amp; Adoption, SLA/RCA, Vendor/Third-Party Coordination, Risk &amp; Controls, Business Continuity/DR Oversight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/>
          <w:color w:val="183B56"/>
          <w:sz w:val="18"/>
        </w:rPr>
        <w:t xml:space="preserve">Technology &amp; AI: </w:t>
      </w:r>
      <w:r>
        <w:rPr>
          <w:rFonts w:ascii="Arial" w:hAnsi="Arial"/>
          <w:b w:val="0"/>
          <w:color w:val="262F38"/>
          <w:sz w:val="18"/>
        </w:rPr>
        <w:t>C#/.NET, ASP.NET, APIs/Integrations, SQL Server/PostgreSQL/MySQL, Git/TFS, Jenkins, Postman/Swagger, Applied AI &amp; Automation, AI-Assisted Engineering &amp; Analysis, Agentic Workflows, Enterprise AI Governance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EDUCATION &amp; LANGUAGES</w:t>
      </w:r>
    </w:p>
    <w:p>
      <w:pPr>
        <w:keepNext/>
        <w:pageBreakBefore w:val="0"/>
        <w:spacing w:before="84" w:after="18" w:line="247" w:lineRule="auto"/>
      </w:pPr>
      <w:r>
        <w:rPr>
          <w:rFonts w:ascii="Arial" w:hAnsi="Arial"/>
          <w:b/>
          <w:color w:val="183B56"/>
          <w:sz w:val="18"/>
        </w:rPr>
        <w:t xml:space="preserve">Education: </w:t>
      </w:r>
      <w:r>
        <w:rPr>
          <w:rFonts w:ascii="Arial" w:hAnsi="Arial"/>
          <w:b w:val="0"/>
          <w:color w:val="262F38"/>
          <w:sz w:val="18"/>
        </w:rPr>
        <w:t>B.Sc. in Computer Science, Faculty of Computers &amp; Informatics, Zagazig University | 2003-2007</w:t>
      </w:r>
    </w:p>
    <w:p>
      <w:pPr>
        <w:keepNext w:val="0"/>
        <w:pageBreakBefore w:val="0"/>
        <w:spacing w:before="0" w:after="56" w:line="247" w:lineRule="auto"/>
      </w:pPr>
      <w:r>
        <w:rPr>
          <w:rFonts w:ascii="Arial" w:hAnsi="Arial"/>
          <w:b/>
          <w:color w:val="183B56"/>
          <w:sz w:val="18"/>
        </w:rPr>
        <w:t xml:space="preserve">Languages: </w:t>
      </w:r>
      <w:r>
        <w:rPr>
          <w:rFonts w:ascii="Arial" w:hAnsi="Arial"/>
          <w:b w:val="0"/>
          <w:color w:val="262F38"/>
          <w:sz w:val="18"/>
        </w:rPr>
        <w:t>Arabic (Native) | English (Professional Working Proficiency)</w:t>
      </w:r>
    </w:p>
    <w:sectPr w:rsidR="00FC693F" w:rsidRPr="0006063C" w:rsidSect="00034616">
      <w:footerReference w:type="default" r:id="rId9"/>
      <w:pgSz w:w="12240" w:h="15840"/>
      <w:pgMar w:top="821" w:right="950" w:bottom="821" w:left="950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/>
        <w:color w:val="6E7680"/>
        <w:sz w:val="13"/>
      </w:rPr>
    </w:r>
    <w:r>
      <w:rPr>
        <w:rFonts w:ascii="Arial" w:hAnsi="Arial"/>
        <w:color w:val="6E7680"/>
        <w:sz w:val="13"/>
      </w:rPr>
      <w:t>MAHMOUD SALAMA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6" w:line="252" w:lineRule="auto"/>
    </w:pPr>
    <w:rPr>
      <w:rFonts w:ascii="Arial" w:hAnsi="Arial"/>
      <w:color w:val="262F38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