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10" w:line="240" w:lineRule="auto"/>
        <w:jc w:val="center"/>
      </w:pPr>
      <w:r>
        <w:rPr>
          <w:rFonts w:ascii="Arial" w:hAnsi="Arial" w:eastAsia="Arial"/>
          <w:b/>
          <w:color w:val="183B56"/>
          <w:sz w:val="40"/>
        </w:rPr>
        <w:t>MAHMOUD SALAMA</w:t>
      </w:r>
    </w:p>
    <w:p>
      <w:pPr>
        <w:keepNext w:val="0"/>
        <w:pageBreakBefore w:val="0"/>
        <w:spacing w:before="0" w:after="36" w:line="240" w:lineRule="auto"/>
        <w:jc w:val="center"/>
      </w:pPr>
      <w:r>
        <w:rPr>
          <w:rFonts w:ascii="Arial" w:hAnsi="Arial" w:eastAsia="Arial"/>
          <w:b/>
          <w:color w:val="183B56"/>
          <w:sz w:val="21"/>
        </w:rPr>
        <w:t>SENIOR TECHNOLOGY EXECUTIVE | DIGITAL TRANSFORMATION &amp; ENTERPRISE SYSTEMS</w:t>
      </w:r>
    </w:p>
    <w:p>
      <w:pPr>
        <w:keepNext w:val="0"/>
        <w:pageBreakBefore w:val="0"/>
        <w:spacing w:before="0" w:after="25" w:line="240" w:lineRule="auto"/>
        <w:jc w:val="center"/>
      </w:pPr>
      <w:r>
        <w:rPr>
          <w:rFonts w:ascii="Arial" w:hAnsi="Arial" w:eastAsia="Arial"/>
          <w:b w:val="0"/>
          <w:color w:val="5D6974"/>
          <w:sz w:val="16"/>
        </w:rPr>
        <w:t>Technology Strategy | Digital Transformation | Enterprise Systems | Architecture | Program &amp; Portfolio Delivery | Data &amp; Integration | IT Governance</w:t>
      </w:r>
    </w:p>
    <w:p>
      <w:pPr>
        <w:keepNext w:val="0"/>
        <w:pageBreakBefore w:val="0"/>
        <w:spacing w:before="0" w:after="25" w:line="240" w:lineRule="auto"/>
        <w:jc w:val="center"/>
      </w:pPr>
      <w:r>
        <w:rPr>
          <w:rFonts w:ascii="Arial" w:hAnsi="Arial" w:eastAsia="Arial"/>
          <w:b w:val="0"/>
          <w:color w:val="5D6974"/>
          <w:sz w:val="16"/>
        </w:rPr>
        <w:t>+20 122 015 6077 | ma7moud.salamaaa@gmail.com | Cairo, Egypt</w:t>
      </w:r>
    </w:p>
    <w:p>
      <w:pPr>
        <w:keepNext w:val="0"/>
        <w:pageBreakBefore w:val="0"/>
        <w:spacing w:before="0" w:after="72" w:line="240" w:lineRule="auto"/>
        <w:jc w:val="center"/>
        <w:pBdr>
          <w:bottom w:val="single" w:sz="9" w:space="3" w:color="173B57"/>
        </w:pBdr>
      </w:pPr>
      <w:r>
        <w:rPr>
          <w:rFonts w:ascii="Arial" w:hAnsi="Arial" w:eastAsia="Arial"/>
          <w:b w:val="0"/>
          <w:color w:val="5D6974"/>
          <w:sz w:val="16"/>
        </w:rPr>
        <w:t>linkedin.com/in/mahmoud-salama-30249b34 | mahmoud-salama.vercel.app | github.com/MahmoudSalamaaa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PROFESSIONAL PROFILE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 w:eastAsia="Arial"/>
          <w:i w:val="0"/>
          <w:color w:val="111111"/>
          <w:sz w:val="17"/>
        </w:rPr>
        <w:t>Senior technology executive with 18+ years progressing from hands-on Linux/web and C#/.NET engineering to development-team leadership, enterprise/e-government delivery and national-scale technology leadership across Egypt and Oman. Leads a 54-person technology organization with 7 direct reports, combining technology strategy, digital transformation, enterprise and solution architecture, software/application delivery, program and portfolio governance, data and integration, IT/service operations, security/risk, vendor management, stakeholder engagement and controlled enterprise AI adoption.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CORE LEADERSHIP AREAS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 w:eastAsia="Arial"/>
          <w:i w:val="0"/>
          <w:color w:val="123B4A"/>
          <w:sz w:val="17"/>
        </w:rPr>
        <w:t>Technology Strategy &amp; Roadmaps | Digital Transformation | IT / Information Systems Leadership | Enterprise Systems | Software &amp; Application Delivery | Enterprise &amp; Solution Architecture | Program &amp; Portfolio Governance | Data &amp; Integration | IT &amp; Service Governance | Vendor Management | Executive Stakeholder Management | Security, Risk &amp; Business Continuity | Change &amp; Adoption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SELECTED CAREER IMPACT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Lead a 54-person technology organization with 7 direct reports across national-scale information systems, digital transformation, architecture, delivery and service operations.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Direct national-scale platform evolution for ~60K users, ~90K facilities/entities, ~300 suppliers and ~1M transactions/month.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Govern enterprise architecture, data, reporting and integration capabilities that support high-volume operations, cross-platform consistency and executive decision-making.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Led and contributed hands-on across 15+ enterprise/e-government platforms in Oman, including the National Educational Portal serving ~1M users.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Transformed manual and fragmented processes into governed digital workflows with approvals, RBAC, auditability, data validation, reporting and operational ownership across public-sector environments.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PROFESSIONAL EXPERIENCE</w:t>
      </w:r>
    </w:p>
    <w:p>
      <w:pPr>
        <w:keepNext/>
        <w:pageBreakBefore w:val="0"/>
        <w:tabs>
          <w:tab w:pos="10080" w:val="right"/>
        </w:tabs>
        <w:spacing w:before="72" w:after="16" w:line="240" w:lineRule="auto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05/2025 - Present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Head of the Central Administration for Information Systems &amp; Digital Transformation</w:t>
      </w:r>
    </w:p>
    <w:p>
      <w:pPr>
        <w:keepNext/>
        <w:pageBreakBefore w:val="0"/>
        <w:spacing w:before="0" w:after="40" w:line="240" w:lineRule="auto"/>
      </w:pPr>
      <w:r>
        <w:rPr>
          <w:rFonts w:ascii="Arial" w:hAnsi="Arial" w:eastAsia="Arial"/>
          <w:b w:val="0"/>
          <w:i/>
          <w:color w:val="5D6974"/>
          <w:sz w:val="16"/>
        </w:rPr>
        <w:t>Scope: Technology Strategy | Information Systems | Software Delivery | Enterprise Architecture | Data &amp; Integration | Programs &amp; Governance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Lead technology strategy, digital-transformation roadmaps and enterprise-systems modernization for national procurement and medical-supply platforms spanning applications, inventory/warehouse services, workflows, data/reporting, integration, support/customer service and government operations.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Direct a 54-person technology organization with 7 direct reports, aligning software/application delivery, systems/support, architecture, data/reporting, security/governance and service operations around institutional priorities and measurable technology KPIs.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Direct platform evolution for ~60K users, ~90K facilities/entities, ~300 suppliers and ~1M transactions/month, translating institutional priorities into technology roadmaps, architecture, modernization, service ownership, controls and delivery priorities.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Govern enterprise/solution architecture across configurable, modular and API-driven platform capabilities, including shared services, RBAC, workflows, documents/archiving, auditability, data governance, integrations, security, performance, resilience and business continuity.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Govern end-to-end SDLC, program/portfolio delivery, change/adoption and service transition from discovery and requirements through architecture, engineering, QA/UAT, release, deployment, production support, incident/RCA and continuous improvement.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Oversee a ~20-person support/customer-service operation plus vendor/stakeholder coordination, executive reporting, technology risk/controls, budget and cost oversight, and controlled adoption of AI-assisted engineering, analysis and operational workflows.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Egyptian Authority for Unified Procurement (UPA) | Cairo, Egypt</w:t>
      </w:r>
      <w:r>
        <w:tab/>
      </w:r>
      <w:r>
        <w:rPr>
          <w:rFonts w:ascii="Arial" w:hAnsi="Arial"/>
          <w:b/>
          <w:color w:val="46525E"/>
          <w:sz w:val="17"/>
        </w:rPr>
        <w:t>10/2020 - 05/2025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General Manager - Systems, Applications &amp; Technical Support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Directed enterprise applications, systems, technical support and stakeholder-service delivery across procurement, medical supply, inventory, reporting, CMS/publishing and workflow capabilities.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Modernized manual processes into governed digital workflows with approvals, RBAC, auditability, data validation, reporting and operational ownership.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Strengthened engineering and service delivery through clearer ownership, technical standards, architecture/design and code reviews, QA/release gates, documentation, incident/RCA practices, knowledge transfer and repeatable support procedures.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Coordinated multi-agency initiatives and nationwide onboarding, training, support, escalation, feedback and adoption across public-sector stakeholders.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pageBreakBefore w:val="0"/>
      </w:pPr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Integral Solutions LLC | Muscat, Oman</w:t>
      </w:r>
      <w:r>
        <w:tab/>
      </w:r>
      <w:r>
        <w:rPr>
          <w:rFonts w:ascii="Arial" w:hAnsi="Arial"/>
          <w:b/>
          <w:color w:val="46525E"/>
          <w:sz w:val="17"/>
        </w:rPr>
        <w:t>05/2016 - 10/2020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Development Team Leader &amp; Senior Full-Stack Developer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Led a 10+ developer team while remaining hands-on across 15+ enterprise/e-government platforms; worked extensively on Oman Ministry of Education’s national Educational Portal (~1M users) across development, database/reporting, testing, deployment, rollout and production support.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Contributed extensively to Maktabi / Morasalat electronic correspondence, including workflows, reports, database components, testing, deployment, release and application support.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Delivered the Ministry of Education Recruitment System — recipient of the Sultan Qaboos Award — plus International Schools, Crisis Management and Asset Management systems; also contributed to Ministry of Agriculture delivery and Al Wahat Club Management System for Royal Court Affairs.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Keyframe Egypt | Cairo, Egypt</w:t>
      </w:r>
      <w:r>
        <w:tab/>
      </w:r>
      <w:r>
        <w:rPr>
          <w:rFonts w:ascii="Arial" w:hAnsi="Arial"/>
          <w:b/>
          <w:color w:val="46525E"/>
          <w:sz w:val="17"/>
        </w:rPr>
        <w:t>04/2011 - 05/2016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Development Team Leader &amp; Senior Full-Stack Developer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Led a 6-person development team while remaining deeply hands-on across 150+ major and mid-sized projects/engagements, excluding small projects, across government, healthcare, education, construction/real estate, automotive, events and commercial sectors.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Delivered public-sector portals and enterprise solutions spanning CMS, workflow, reporting, integrations, testing, deployment and support.</w:t>
      </w:r>
    </w:p>
    <w:p>
      <w:pPr>
        <w:keepNext w:val="0"/>
        <w:pageBreakBefore w:val="0"/>
        <w:spacing w:after="44"/>
        <w:ind w:left="230" w:hanging="158"/>
      </w:pPr>
      <w:r>
        <w:rPr>
          <w:rFonts w:ascii="Arial" w:hAnsi="Arial"/>
          <w:b w:val="0"/>
          <w:color w:val="262F38"/>
          <w:sz w:val="17"/>
        </w:rPr>
        <w:t>• Keyframe delivery included multiple award-winning digital solutions; Yashfeen is a confirmed ITIDA competition-winning healthcare portal.</w:t>
      </w:r>
    </w:p>
    <CT_P/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Built/customized multilingual .NET CMS and electronic-publishing solutions using custom platforms, Umbraco and Kentico, while standardizing reusable components, coding/documentation, testing/release, performance/security review and handover/support practices.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tabs>
          <w:tab w:pos="10080" w:val="right"/>
        </w:tabs>
        <w:spacing w:before="50" w:after="41" w:line="240" w:lineRule="auto"/>
      </w:pPr>
      <w:r>
        <w:rPr>
          <w:rFonts w:ascii="Arial" w:hAnsi="Arial"/>
          <w:b/>
          <w:color w:val="183B56"/>
          <w:sz w:val="18"/>
        </w:rPr>
        <w:t>Egyptian Armed Forces | Egypt</w:t>
      </w:r>
      <w:r>
        <w:tab/>
      </w:r>
      <w:r>
        <w:rPr>
          <w:rFonts w:ascii="Arial" w:hAnsi="Arial"/>
          <w:b/>
          <w:color w:val="46525E"/>
          <w:sz w:val="17"/>
        </w:rPr>
        <w:t>04/2008 - 10/2010</w:t>
      </w:r>
    </w:p>
    <w:p>
      <w:pPr>
        <w:keepNext/>
        <w:pageBreakBefore w:val="0"/>
        <w:spacing w:before="0" w:after="25" w:line="240" w:lineRule="auto"/>
      </w:pPr>
      <w:r>
        <w:rPr>
          <w:rFonts w:ascii="Arial" w:hAnsi="Arial" w:eastAsia="Arial"/>
          <w:b/>
          <w:color w:val="183B56"/>
          <w:sz w:val="17"/>
        </w:rPr>
        <w:t>Linux Systems &amp; Web Developer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 xml:space="preserve">• </w:t>
      </w:r>
      <w:r>
        <w:rPr>
          <w:rFonts w:ascii="Arial" w:hAnsi="Arial" w:eastAsia="Arial"/>
          <w:b w:val="0"/>
          <w:color w:val="262F38"/>
          <w:sz w:val="17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SELECTED GOVERNANCE &amp; EXECUTIVE CONTRIBUTIONS</w:t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World Bank Group B-READY Egypt Assessment (2025-2026): contributed on the Egypt side to digital-transformation work supporting private-sector digitization, public-service modernization and national competitiveness.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National Blood Operations (2021-2024): contributed to oversight/governance relating to digital systems, data integrity and technology standards in the national blood-supply environment.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 w:val="0"/>
        <w:pageBreakBefore w:val="0"/>
        <w:spacing w:before="0" w:after="44" w:line="240" w:lineRule="auto"/>
        <w:ind w:left="230" w:hanging="158"/>
      </w:pPr>
      <w:r>
        <w:rPr>
          <w:rFonts w:ascii="Arial" w:hAnsi="Arial" w:eastAsia="Arial"/>
          <w:b w:val="0"/>
          <w:color w:val="262F38"/>
          <w:sz w:val="17"/>
        </w:rPr>
        <w:t>• National Pharmaceutical Track &amp; Trace Program (2021-2024): contributed to multi-agency governance, stakeholder alignment, compliance, interoperability and technology-roadmap coordination across UPA, Egyptian Drug Authority and Ministry of Health stakeholders.</w:t>
      </w:r>
      <w:r>
        <w:rPr>
          <w:rFonts w:ascii="Arial" w:hAnsi="Arial" w:eastAsia="Arial"/>
          <w:b w:val="0"/>
          <w:color w:val="262F38"/>
          <w:sz w:val="17"/>
        </w:rPr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SELECTED ENTERPRISE PLATFORMS &amp; TRANSFORMATION DOMAINS</w:t>
      </w:r>
    </w:p>
    <w:p>
      <w:pPr>
        <w:keepNext w:val="0"/>
        <w:pageBreakBefore w:val="0"/>
        <w:spacing w:before="20" w:after="41" w:line="240" w:lineRule="auto"/>
      </w:pPr>
      <w:r>
        <w:rPr>
          <w:rFonts w:ascii="Arial" w:hAnsi="Arial"/>
          <w:b/>
          <w:color w:val="183B56"/>
          <w:sz w:val="17"/>
        </w:rPr>
        <w:t xml:space="preserve">Representative Platforms: </w:t>
      </w:r>
      <w:r>
        <w:rPr>
          <w:rFonts w:ascii="Arial" w:hAnsi="Arial"/>
          <w:b w:val="0"/>
          <w:color w:val="262F38"/>
          <w:sz w:val="17"/>
        </w:rPr>
        <w:t>UPA unified procurement ecosystem and shared workflow/RBAC/audit/reporting/integration services; Oman Educational Portal (~1M users), Maktabi/Morasalat, Recruitment, International Schools, Crisis/Asset Management, Ministry of Agriculture and Egypt Ministry of Health portals.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TECHNICAL &amp; MANAGEMENT CAPABILITIES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Strategy &amp; Governance: </w:t>
      </w:r>
      <w:r>
        <w:rPr>
          <w:rFonts w:ascii="Arial" w:hAnsi="Arial"/>
          <w:b w:val="0"/>
          <w:color w:val="262F38"/>
          <w:sz w:val="17"/>
        </w:rPr>
        <w:t>Technology Strategy, Digital Transformation, IT Governance, Portfolio/Roadmaps, Executive Stakeholder Management, Enterprise/Solution Architecture, Vendor Management, Risk/Controls, Security Governance, Business Continuity/DR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Engineering &amp; Delivery: </w:t>
      </w:r>
      <w:r>
        <w:rPr>
          <w:rFonts w:ascii="Arial" w:hAnsi="Arial"/>
          <w:b w:val="0"/>
          <w:color w:val="262F38"/>
          <w:sz w:val="17"/>
        </w:rPr>
        <w:t>C#/.NET, Enterprise Applications, Workflow/BPM, CMS/DMS, Secure SDLC, Agile/Hybrid Delivery, Requirements, QA/UAT, Release/Go-Live, Change &amp; Adoption, Service Transition, Program/Portfolio Governance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Service, Data &amp; Integration: </w:t>
      </w:r>
      <w:r>
        <w:rPr>
          <w:rFonts w:ascii="Arial" w:hAnsi="Arial"/>
          <w:b w:val="0"/>
          <w:color w:val="262F38"/>
          <w:sz w:val="17"/>
        </w:rPr>
        <w:t>Technical Support/Customer Service, Service Desk, SLA/RCA, Training/Adoption, Data Governance/MDM/Quality, Reporting/Analytics, SQL Server/PostgreSQL/MySQL, REST/SOAP APIs, External Integrations</w:t>
      </w:r>
    </w:p>
    <w:p>
      <w:pPr>
        <w:keepNext w:val="0"/>
        <w:pageBreakBefore w:val="0"/>
        <w:spacing w:before="0" w:after="41" w:line="240" w:lineRule="auto"/>
      </w:pPr>
      <w:r>
        <w:rPr>
          <w:rFonts w:ascii="Arial" w:hAnsi="Arial"/>
          <w:b/>
          <w:color w:val="183B56"/>
          <w:sz w:val="17"/>
        </w:rPr>
        <w:t xml:space="preserve">Tools &amp; AI: </w:t>
      </w:r>
      <w:r>
        <w:rPr>
          <w:rFonts w:ascii="Arial" w:hAnsi="Arial"/>
          <w:b w:val="0"/>
          <w:color w:val="262F38"/>
          <w:sz w:val="17"/>
        </w:rPr>
        <w:t>Git/TFS, Jenkins, Postman/Swagger, Visual Studio/VS Code, SSMS/DBeaver/DataGrip, Applied AI &amp; Automation, Controlled Enterprise AI Adoption</w:t>
      </w:r>
    </w:p>
    <w:p>
      <w:pPr>
        <w:keepNext/>
        <w:spacing w:before="88" w:after="60" w:line="240" w:lineRule="auto"/>
        <w:pageBreakBefore w:val="0"/>
        <w:pBdr>
          <w:bottom w:val="single" w:sz="5" w:space="3" w:color="B8C5D1"/>
        </w:pBdr>
      </w:pPr>
      <w:r>
        <w:rPr>
          <w:rFonts w:ascii="Arial" w:hAnsi="Arial" w:eastAsia="Arial"/>
          <w:b/>
          <w:color w:val="183B56"/>
          <w:sz w:val="19"/>
        </w:rPr>
        <w:t>EDUCATION &amp; LANGUAGES</w:t>
      </w:r>
    </w:p>
    <w:p>
      <w:pPr>
        <w:keepNext/>
        <w:pageBreakBefore w:val="0"/>
        <w:spacing w:before="72" w:after="16" w:line="247" w:lineRule="auto"/>
      </w:pPr>
      <w:r>
        <w:rPr>
          <w:rFonts w:ascii="Arial" w:hAnsi="Arial"/>
          <w:b/>
          <w:color w:val="183B56"/>
          <w:sz w:val="17"/>
        </w:rPr>
        <w:t xml:space="preserve">Education: </w:t>
      </w:r>
      <w:r>
        <w:rPr>
          <w:rFonts w:ascii="Arial" w:hAnsi="Arial"/>
          <w:b w:val="0"/>
          <w:color w:val="262F38"/>
          <w:sz w:val="17"/>
        </w:rPr>
        <w:t>B.Sc. in Computer Science, Faculty of Computers &amp; Informatics, Zagazig University | 2003-2007</w:t>
      </w:r>
    </w:p>
    <w:p>
      <w:pPr>
        <w:keepNext w:val="0"/>
        <w:pageBreakBefore w:val="0"/>
        <w:spacing w:before="0" w:after="41" w:line="247" w:lineRule="auto"/>
      </w:pPr>
      <w:r>
        <w:rPr>
          <w:rFonts w:ascii="Arial" w:hAnsi="Arial"/>
          <w:b/>
          <w:color w:val="183B56"/>
          <w:sz w:val="17"/>
        </w:rPr>
        <w:t xml:space="preserve">Languages: </w:t>
      </w:r>
      <w:r>
        <w:rPr>
          <w:rFonts w:ascii="Arial" w:hAnsi="Arial"/>
          <w:b w:val="0"/>
          <w:color w:val="262F38"/>
          <w:sz w:val="17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34" w:right="922" w:bottom="634" w:left="922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color w:val="6E7680"/>
        <w:sz w:val="13"/>
      </w:rPr>
    </w:r>
    <w:r>
      <w:rPr>
        <w:rFonts w:ascii="Arial" w:hAnsi="Arial"/>
        <w:color w:val="6E7680"/>
        <w:sz w:val="13"/>
      </w:rPr>
      <w:t>MAHMOUD SALAMA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1" w:line="242" w:lineRule="auto"/>
    </w:pPr>
    <w:rPr>
      <w:rFonts w:ascii="Arial" w:hAnsi="Arial"/>
      <w:color w:val="262F3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